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4B3" w:rsidRPr="000120B5" w:rsidRDefault="001374B3" w:rsidP="001374B3">
      <w:pPr>
        <w:spacing w:after="0" w:line="240" w:lineRule="auto"/>
        <w:jc w:val="center"/>
        <w:rPr>
          <w:rFonts w:ascii="Times New Roman" w:hAnsi="Times New Roman" w:cs="Times New Roman"/>
          <w:b/>
          <w:bCs/>
          <w:sz w:val="24"/>
          <w:szCs w:val="24"/>
        </w:rPr>
      </w:pPr>
      <w:r w:rsidRPr="000120B5">
        <w:rPr>
          <w:rFonts w:ascii="Times New Roman" w:hAnsi="Times New Roman" w:cs="Times New Roman"/>
          <w:b/>
          <w:bCs/>
          <w:sz w:val="24"/>
          <w:szCs w:val="24"/>
        </w:rPr>
        <w:t>THE IMPACT OF INFORMATION AND COMMUNICATION TECHNOLOGY (ICT) INTEGRATION IN TECHNOLOGY EDUCATION ON CIVIC ENGAGEMENT AMONG YOUTHS IN NIGERIA</w:t>
      </w:r>
    </w:p>
    <w:p w:rsidR="001374B3" w:rsidRPr="000120B5" w:rsidRDefault="001374B3" w:rsidP="001374B3">
      <w:pPr>
        <w:spacing w:after="0" w:line="240" w:lineRule="auto"/>
        <w:jc w:val="center"/>
        <w:rPr>
          <w:rFonts w:ascii="Times New Roman" w:hAnsi="Times New Roman" w:cs="Times New Roman"/>
          <w:b/>
          <w:bCs/>
          <w:sz w:val="24"/>
          <w:szCs w:val="24"/>
        </w:rPr>
      </w:pPr>
    </w:p>
    <w:p w:rsidR="00C0763A" w:rsidRPr="00793115" w:rsidRDefault="00C0763A" w:rsidP="00793115">
      <w:pPr>
        <w:jc w:val="both"/>
        <w:rPr>
          <w:rFonts w:ascii="Times New Roman" w:hAnsi="Times New Roman" w:cs="Times New Roman"/>
          <w:b/>
          <w:i/>
          <w:sz w:val="24"/>
          <w:szCs w:val="24"/>
        </w:rPr>
      </w:pPr>
      <w:r w:rsidRPr="00793115">
        <w:rPr>
          <w:rFonts w:ascii="Times New Roman" w:hAnsi="Times New Roman" w:cs="Times New Roman"/>
          <w:b/>
          <w:i/>
          <w:sz w:val="24"/>
          <w:szCs w:val="24"/>
        </w:rPr>
        <w:t>Abstract</w:t>
      </w:r>
    </w:p>
    <w:p w:rsidR="00C0763A" w:rsidRPr="00793115" w:rsidRDefault="00C0763A" w:rsidP="001374B3">
      <w:pPr>
        <w:pStyle w:val="NormalWeb"/>
        <w:ind w:firstLine="720"/>
        <w:jc w:val="both"/>
        <w:rPr>
          <w:i/>
        </w:rPr>
      </w:pPr>
      <w:r w:rsidRPr="00793115">
        <w:rPr>
          <w:i/>
        </w:rPr>
        <w:t>Nigeria has one of the largest youth populations in the world, with more than 60 percent under the age of 30. This demographic strength, combined with the rapid spread of digital technologies, presents unique opportunities and challenges for civic participation. This study investigates the impact of Information and Communication Technology (ICT) integration in technology education on civic engagement among Nigerian youths. Drawing on a mixed-methods design, the study surveyed 720 final-year technology education students across six states and conducted 12 focus group discussions to explore lived experiences. Findings reveal that higher levels of ICT integration significantly predict improved civic knowledge and stronger civic participation intentions, with a one-unit increase in ICT integration associated with a 6.8-point rise in civic knowledge scores. Teacher competence and infrastructural reliability emerged as important moderators of this relationship, while barriers such as high data costs and poor connectivity constrained sustained engagement. The study concludes that ICT integration, when combined with purposeful pedagogy, teacher professional development, and supportive infrastructure, has the potential to transform technology education into a driver of civic empowerment. Recommendations emphasize curriculum reform, improved teacher capacity, and stronger partnerships with civic-tech organizations to strengthen democratic participation among Nigerian youths.</w:t>
      </w:r>
    </w:p>
    <w:p w:rsidR="00C0763A" w:rsidRPr="00793115" w:rsidRDefault="00C0763A" w:rsidP="00793115">
      <w:pPr>
        <w:pStyle w:val="NormalWeb"/>
        <w:jc w:val="both"/>
        <w:rPr>
          <w:i/>
        </w:rPr>
      </w:pPr>
      <w:r w:rsidRPr="00793115">
        <w:rPr>
          <w:rStyle w:val="Strong"/>
          <w:i/>
        </w:rPr>
        <w:t>Keywords:</w:t>
      </w:r>
      <w:r w:rsidRPr="00793115">
        <w:rPr>
          <w:i/>
        </w:rPr>
        <w:t xml:space="preserve"> ICT Integration, Technology Education, Civic Engagement, Youth Participation, Nigeria</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kern w:val="36"/>
          <w:sz w:val="24"/>
          <w:szCs w:val="24"/>
        </w:rPr>
        <w:t>Introduction</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Young people in Nigeria represent one of the largest youth populations in the world, with more than 60 percent of the population under the age of 30. This demographic profile makes Nigerian youths a powerful force in shaping the future of governance, civic participation, and socio-economic development (United Nations Children’s Fund Nigeria, 2025). In recent years, their growing digital footprints — expressed through the use of smartphones, social media, and civic-technology applications — have significantly altered </w:t>
      </w:r>
      <w:r w:rsidR="00C0763A">
        <w:rPr>
          <w:rFonts w:ascii="Times New Roman" w:eastAsia="Times New Roman" w:hAnsi="Times New Roman" w:cs="Times New Roman"/>
          <w:sz w:val="24"/>
          <w:szCs w:val="24"/>
        </w:rPr>
        <w:t>how</w:t>
      </w:r>
      <w:r w:rsidRPr="00392AC9">
        <w:rPr>
          <w:rFonts w:ascii="Times New Roman" w:eastAsia="Times New Roman" w:hAnsi="Times New Roman" w:cs="Times New Roman"/>
          <w:sz w:val="24"/>
          <w:szCs w:val="24"/>
        </w:rPr>
        <w:t xml:space="preserve"> they access information, deliberate on public issues, mobilize communities, and hold institutions accountable (Restless Development, 2024). The rise of digital activism, online petitions, and social media campaigns, such as those witnessed during the #</w:t>
      </w:r>
      <w:proofErr w:type="spellStart"/>
      <w:r w:rsidRPr="00392AC9">
        <w:rPr>
          <w:rFonts w:ascii="Times New Roman" w:eastAsia="Times New Roman" w:hAnsi="Times New Roman" w:cs="Times New Roman"/>
          <w:sz w:val="24"/>
          <w:szCs w:val="24"/>
        </w:rPr>
        <w:t>EndSARS</w:t>
      </w:r>
      <w:proofErr w:type="spellEnd"/>
      <w:r w:rsidRPr="00392AC9">
        <w:rPr>
          <w:rFonts w:ascii="Times New Roman" w:eastAsia="Times New Roman" w:hAnsi="Times New Roman" w:cs="Times New Roman"/>
          <w:sz w:val="24"/>
          <w:szCs w:val="24"/>
        </w:rPr>
        <w:t xml:space="preserve"> protests</w:t>
      </w:r>
      <w:r w:rsidR="001374B3">
        <w:rPr>
          <w:rFonts w:ascii="Times New Roman" w:eastAsia="Times New Roman" w:hAnsi="Times New Roman" w:cs="Times New Roman"/>
          <w:sz w:val="24"/>
          <w:szCs w:val="24"/>
        </w:rPr>
        <w:t xml:space="preserve"> and the 2023 general elections,</w:t>
      </w:r>
      <w:r w:rsidRPr="00392AC9">
        <w:rPr>
          <w:rFonts w:ascii="Times New Roman" w:eastAsia="Times New Roman" w:hAnsi="Times New Roman" w:cs="Times New Roman"/>
          <w:sz w:val="24"/>
          <w:szCs w:val="24"/>
        </w:rPr>
        <w:t xml:space="preserve"> </w:t>
      </w:r>
      <w:r w:rsidR="00793115">
        <w:rPr>
          <w:rFonts w:ascii="Times New Roman" w:eastAsia="Times New Roman" w:hAnsi="Times New Roman" w:cs="Times New Roman"/>
          <w:sz w:val="24"/>
          <w:szCs w:val="24"/>
        </w:rPr>
        <w:t xml:space="preserve">is to </w:t>
      </w:r>
      <w:r w:rsidRPr="00392AC9">
        <w:rPr>
          <w:rFonts w:ascii="Times New Roman" w:eastAsia="Times New Roman" w:hAnsi="Times New Roman" w:cs="Times New Roman"/>
          <w:sz w:val="24"/>
          <w:szCs w:val="24"/>
        </w:rPr>
        <w:t xml:space="preserve">illustrate the </w:t>
      </w:r>
      <w:r w:rsidRPr="00392AC9">
        <w:rPr>
          <w:rFonts w:ascii="Times New Roman" w:eastAsia="Times New Roman" w:hAnsi="Times New Roman" w:cs="Times New Roman"/>
          <w:sz w:val="24"/>
          <w:szCs w:val="24"/>
        </w:rPr>
        <w:lastRenderedPageBreak/>
        <w:t xml:space="preserve">centrality of information and communication technology (ICT) in the civic lives of Nigerian youths (Wired Magazine, 2023; </w:t>
      </w:r>
      <w:proofErr w:type="spellStart"/>
      <w:r w:rsidRPr="00392AC9">
        <w:rPr>
          <w:rFonts w:ascii="Times New Roman" w:eastAsia="Times New Roman" w:hAnsi="Times New Roman" w:cs="Times New Roman"/>
          <w:sz w:val="24"/>
          <w:szCs w:val="24"/>
        </w:rPr>
        <w:t>TeenVogue</w:t>
      </w:r>
      <w:proofErr w:type="spellEnd"/>
      <w:r w:rsidRPr="00392AC9">
        <w:rPr>
          <w:rFonts w:ascii="Times New Roman" w:eastAsia="Times New Roman" w:hAnsi="Times New Roman" w:cs="Times New Roman"/>
          <w:sz w:val="24"/>
          <w:szCs w:val="24"/>
        </w:rPr>
        <w:t>, 2023).</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Globally, UNICEF highlights that digital civic engagement is an increasingly important domain of youth participation. According to </w:t>
      </w:r>
      <w:r w:rsidR="001374B3">
        <w:rPr>
          <w:rFonts w:ascii="Times New Roman" w:eastAsia="Times New Roman" w:hAnsi="Times New Roman" w:cs="Times New Roman"/>
          <w:sz w:val="24"/>
          <w:szCs w:val="24"/>
        </w:rPr>
        <w:t xml:space="preserve">the </w:t>
      </w:r>
      <w:r w:rsidRPr="00392AC9">
        <w:rPr>
          <w:rFonts w:ascii="Times New Roman" w:eastAsia="Times New Roman" w:hAnsi="Times New Roman" w:cs="Times New Roman"/>
          <w:sz w:val="24"/>
          <w:szCs w:val="24"/>
        </w:rPr>
        <w:t>United Nations Children’s Fund (2020), young people are not only passive consumers of information online but are also active creators, mobilizers, and participants in civic and democratic processes. Civic engagement through digital means allows youths to amplify their voices, demand accountability, and collaborate across borders. However, UNICEF also notes that the digital space comes with constraints, including misinformation, limited access to reliable internet, high data costs, and risks of exclusion for marginalized groups. These dynamics are particularly pronounced in developing contexts such as Nigeria, where digital divides often mirror existing social and economic inequalities (United Nations Children’s Fund, 2020).</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Technology education, which refers to educational </w:t>
      </w:r>
      <w:proofErr w:type="spellStart"/>
      <w:r w:rsidRPr="00392AC9">
        <w:rPr>
          <w:rFonts w:ascii="Times New Roman" w:eastAsia="Times New Roman" w:hAnsi="Times New Roman" w:cs="Times New Roman"/>
          <w:sz w:val="24"/>
          <w:szCs w:val="24"/>
        </w:rPr>
        <w:t>programmes</w:t>
      </w:r>
      <w:proofErr w:type="spellEnd"/>
      <w:r w:rsidRPr="00392AC9">
        <w:rPr>
          <w:rFonts w:ascii="Times New Roman" w:eastAsia="Times New Roman" w:hAnsi="Times New Roman" w:cs="Times New Roman"/>
          <w:sz w:val="24"/>
          <w:szCs w:val="24"/>
        </w:rPr>
        <w:t xml:space="preserve"> that explicitly teach applied technology skills, ICT literacy, problem-solving, and innovation, occupies a strategic position in shaping how youths acquire and apply digital skills for both personal development and civic purposes (</w:t>
      </w:r>
      <w:proofErr w:type="spellStart"/>
      <w:r w:rsidRPr="00392AC9">
        <w:rPr>
          <w:rFonts w:ascii="Times New Roman" w:eastAsia="Times New Roman" w:hAnsi="Times New Roman" w:cs="Times New Roman"/>
          <w:sz w:val="24"/>
          <w:szCs w:val="24"/>
        </w:rPr>
        <w:t>Ghavifekr</w:t>
      </w:r>
      <w:proofErr w:type="spellEnd"/>
      <w:r w:rsidRPr="00392AC9">
        <w:rPr>
          <w:rFonts w:ascii="Times New Roman" w:eastAsia="Times New Roman" w:hAnsi="Times New Roman" w:cs="Times New Roman"/>
          <w:sz w:val="24"/>
          <w:szCs w:val="24"/>
        </w:rPr>
        <w:t>, 2015). In Nigeria, technology education is offered in technical colleges, polytechnics, colleges of education, and universities, often focusing on applied learning and problem-solving tasks. Through effective integration of ICT into technology education, learners can be empowered to critically evaluate online information, design digital solutions for community challenges, and participate more meaningfully in civic processes (</w:t>
      </w:r>
      <w:proofErr w:type="spellStart"/>
      <w:r w:rsidRPr="00392AC9">
        <w:rPr>
          <w:rFonts w:ascii="Times New Roman" w:eastAsia="Times New Roman" w:hAnsi="Times New Roman" w:cs="Times New Roman"/>
          <w:sz w:val="24"/>
          <w:szCs w:val="24"/>
        </w:rPr>
        <w:t>Woldemariam</w:t>
      </w:r>
      <w:proofErr w:type="spellEnd"/>
      <w:r w:rsidRPr="00392AC9">
        <w:rPr>
          <w:rFonts w:ascii="Times New Roman" w:eastAsia="Times New Roman" w:hAnsi="Times New Roman" w:cs="Times New Roman"/>
          <w:sz w:val="24"/>
          <w:szCs w:val="24"/>
        </w:rPr>
        <w:t>, 2025). ICT integration in this context involves not only providing access to hardware and software but also embedding ICT into pedagogy, aligning it with curriculum goals, and ensuring that teachers are competent to facilitate digital learning (</w:t>
      </w:r>
      <w:proofErr w:type="spellStart"/>
      <w:r w:rsidRPr="00392AC9">
        <w:rPr>
          <w:rFonts w:ascii="Times New Roman" w:eastAsia="Times New Roman" w:hAnsi="Times New Roman" w:cs="Times New Roman"/>
          <w:sz w:val="24"/>
          <w:szCs w:val="24"/>
        </w:rPr>
        <w:t>ResearchGate</w:t>
      </w:r>
      <w:proofErr w:type="spellEnd"/>
      <w:r w:rsidRPr="00392AC9">
        <w:rPr>
          <w:rFonts w:ascii="Times New Roman" w:eastAsia="Times New Roman" w:hAnsi="Times New Roman" w:cs="Times New Roman"/>
          <w:sz w:val="24"/>
          <w:szCs w:val="24"/>
        </w:rPr>
        <w:t>, 2025).</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lastRenderedPageBreak/>
        <w:t>Despite its potential, evidence from Nigeria indicates persistent gaps in ICT infrastructure, uneven teacher preparation, and varying uses of ICT for teaching and learning. Many schools lack reliable electricity and internet access, and where ICT facilities exist, they are often underutilized or poorly maintained (</w:t>
      </w:r>
      <w:proofErr w:type="spellStart"/>
      <w:r w:rsidRPr="00392AC9">
        <w:rPr>
          <w:rFonts w:ascii="Times New Roman" w:eastAsia="Times New Roman" w:hAnsi="Times New Roman" w:cs="Times New Roman"/>
          <w:sz w:val="24"/>
          <w:szCs w:val="24"/>
        </w:rPr>
        <w:t>Fahm</w:t>
      </w:r>
      <w:proofErr w:type="spellEnd"/>
      <w:r w:rsidRPr="00392AC9">
        <w:rPr>
          <w:rFonts w:ascii="Times New Roman" w:eastAsia="Times New Roman" w:hAnsi="Times New Roman" w:cs="Times New Roman"/>
          <w:sz w:val="24"/>
          <w:szCs w:val="24"/>
        </w:rPr>
        <w:t>, 2021). Teachers frequently report limited professional development opportunities to improve their digital competencies, which constrains their ability to integrate ICT meaningfully into civic-related teaching tasks (United Nations Children’s Fund Nigeria, 2025). Moreover, disparities between urban and rural schools further exacerbate inequities in access to ICT and, by extension, the ability of young people to translate digital skills into civic engagement (The Growing Digital Footprint Research Group, 2024).</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Civic engagement among Nigerian youths is multifaceted. It includes traditional forms such as voting, attending community meetings, and volunteering, as well as modern digital forms such as engaging in online advocacy campaigns, participating in civic-tech platforms, and using social media to raise awareness on issues of governance, corruption, and human rights (Restless Development, 2024). Studies indicate that Nigerian youths who are more digitally literate are significantly more likely to participate in civic activities, both online and offline, suggesting that ICT skills acquired through education can directly shape civic outcomes (</w:t>
      </w:r>
      <w:proofErr w:type="spellStart"/>
      <w:r w:rsidRPr="00392AC9">
        <w:rPr>
          <w:rFonts w:ascii="Times New Roman" w:eastAsia="Times New Roman" w:hAnsi="Times New Roman" w:cs="Times New Roman"/>
          <w:sz w:val="24"/>
          <w:szCs w:val="24"/>
        </w:rPr>
        <w:t>Bessong</w:t>
      </w:r>
      <w:proofErr w:type="spellEnd"/>
      <w:r w:rsidRPr="00392AC9">
        <w:rPr>
          <w:rFonts w:ascii="Times New Roman" w:eastAsia="Times New Roman" w:hAnsi="Times New Roman" w:cs="Times New Roman"/>
          <w:sz w:val="24"/>
          <w:szCs w:val="24"/>
        </w:rPr>
        <w:t>, 2024). However, the benefits are not equally distributed. Students from marginalized communities often lack the devices, connectivity, or pedagogical support to fully participate in digital civic spaces, creating a gap between potential and actual civic engagement outcomes (United Nations Children’s Fund Nigeria, 2025).</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ICT integration also plays a critical role in shaping civic competencies. Research has shown that where digital learning tasks are explicitly linked to civic and community issues — for instance, projects requiring students to design ICT-based solutions to health, environmental, or </w:t>
      </w:r>
      <w:r w:rsidRPr="00392AC9">
        <w:rPr>
          <w:rFonts w:ascii="Times New Roman" w:eastAsia="Times New Roman" w:hAnsi="Times New Roman" w:cs="Times New Roman"/>
          <w:sz w:val="24"/>
          <w:szCs w:val="24"/>
        </w:rPr>
        <w:lastRenderedPageBreak/>
        <w:t xml:space="preserve">governance problems — learners are more likely to develop civic knowledge, civic motivation, and civic efficacy (UNICEF Nigeria, 2021). </w:t>
      </w:r>
      <w:proofErr w:type="spellStart"/>
      <w:r w:rsidRPr="00392AC9">
        <w:rPr>
          <w:rFonts w:ascii="Times New Roman" w:eastAsia="Times New Roman" w:hAnsi="Times New Roman" w:cs="Times New Roman"/>
          <w:sz w:val="24"/>
          <w:szCs w:val="24"/>
        </w:rPr>
        <w:t>Ghavifekr</w:t>
      </w:r>
      <w:proofErr w:type="spellEnd"/>
      <w:r w:rsidRPr="00392AC9">
        <w:rPr>
          <w:rFonts w:ascii="Times New Roman" w:eastAsia="Times New Roman" w:hAnsi="Times New Roman" w:cs="Times New Roman"/>
          <w:sz w:val="24"/>
          <w:szCs w:val="24"/>
        </w:rPr>
        <w:t xml:space="preserve"> (2015) argues that ICT integration is only effective when pedagogical approaches are deliberately restructured to go beyond technical skills and focus on problem-solving in real-life contexts. Similarly, Restless Development (2024) finds that Nigerian youths exposed to digital civic platforms during elections were more likely to engage in political discourse, monitor elections, and demand accountability.</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This context highlights the importance of investigating the intersection of ICT integration in technology education and civic engagement. While existing studies document the transformative potential of ICT and the civic aspirations of Nigerian youths, there remains a paucity of empirical evidence that systematically links the level of ICT integration in classrooms to measurable civic outcomes such as civic knowledge, civic participation intentions, and actual civic actions. This gap limits policymakers’ ability to design evidence-based interventions that leverage education and ICT for civic empowerment.</w:t>
      </w:r>
    </w:p>
    <w:p w:rsidR="005D4793" w:rsidRPr="00392AC9" w:rsidRDefault="005D4793" w:rsidP="001374B3">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Therefore, this study seeks to answer a central question: </w:t>
      </w:r>
      <w:r w:rsidRPr="00392AC9">
        <w:rPr>
          <w:rFonts w:ascii="Times New Roman" w:eastAsia="Times New Roman" w:hAnsi="Times New Roman" w:cs="Times New Roman"/>
          <w:bCs/>
          <w:sz w:val="24"/>
          <w:szCs w:val="24"/>
        </w:rPr>
        <w:t>How does integration of ICT in technology education affect civic engagement among youths in Nigeria?</w:t>
      </w:r>
      <w:r w:rsidRPr="00392AC9">
        <w:rPr>
          <w:rFonts w:ascii="Times New Roman" w:eastAsia="Times New Roman" w:hAnsi="Times New Roman" w:cs="Times New Roman"/>
          <w:sz w:val="24"/>
          <w:szCs w:val="24"/>
        </w:rPr>
        <w:t xml:space="preserve"> By employing a mixed-methods approach, this paper not only quantifies the relationships between ICT integration and civic outcomes but also explores the lived experiences of students and teachers that shape this relationship. The findings provide critical insights for educational policymakers, curriculum developers, and civic organizations seeking to harness the potential of ICT in fostering active, informed, and engaged citizens in Nigeria.</w:t>
      </w:r>
    </w:p>
    <w:p w:rsidR="005D4793" w:rsidRPr="00392AC9" w:rsidRDefault="005D4793"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Statement of the Problem</w:t>
      </w:r>
    </w:p>
    <w:p w:rsidR="005D4793" w:rsidRPr="00392AC9" w:rsidRDefault="005D4793" w:rsidP="001374B3">
      <w:pPr>
        <w:pStyle w:val="NormalWeb"/>
        <w:spacing w:before="0" w:beforeAutospacing="0" w:after="0" w:afterAutospacing="0" w:line="480" w:lineRule="auto"/>
        <w:ind w:firstLine="720"/>
        <w:jc w:val="both"/>
      </w:pPr>
      <w:r w:rsidRPr="00392AC9">
        <w:t xml:space="preserve">In contemporary Nigeria, young people constitute one of the most dynamic segments of the population, not only because of their numbers but also due to their expanding interaction with </w:t>
      </w:r>
      <w:r w:rsidRPr="00392AC9">
        <w:lastRenderedPageBreak/>
        <w:t>digital technologies. The proliferation of Information and Communication Technologies (ICTs) has transformed global civic participation, offering new avenues for political discourse, mobilization, and accountability (Adebayo, 2019). However, in Nigeria, the extent to which ICT integration in technology education translates into meaningful civic engagement among youths remains insufficiently understood.</w:t>
      </w:r>
    </w:p>
    <w:p w:rsidR="005D4793" w:rsidRPr="00392AC9" w:rsidRDefault="005D4793" w:rsidP="001374B3">
      <w:pPr>
        <w:pStyle w:val="NormalWeb"/>
        <w:spacing w:before="0" w:beforeAutospacing="0" w:after="0" w:afterAutospacing="0" w:line="480" w:lineRule="auto"/>
        <w:ind w:firstLine="720"/>
        <w:jc w:val="both"/>
      </w:pPr>
      <w:r w:rsidRPr="00392AC9">
        <w:t>Technology education, by design, seeks to equip learners with the knowledge and competencies to navigate and apply ICT tools for problem-solving, innovation, and socio-economic development (</w:t>
      </w:r>
      <w:proofErr w:type="spellStart"/>
      <w:r w:rsidRPr="00392AC9">
        <w:t>Ogunleye</w:t>
      </w:r>
      <w:proofErr w:type="spellEnd"/>
      <w:r w:rsidRPr="00392AC9">
        <w:t>, 2021). Yet, the curriculum and pedagogical practices in many Nigerian schools often fall short of aligning technological skills with civic empowerment objectives. This gap is further exacerbated by poor ICT infrastructure, limited access to digital devices, irregular internet connectivity, and inadequate teacher capacity in effectively embedding ICT in teaching-learning processes (</w:t>
      </w:r>
      <w:proofErr w:type="spellStart"/>
      <w:r w:rsidRPr="00392AC9">
        <w:t>Nwosu</w:t>
      </w:r>
      <w:proofErr w:type="spellEnd"/>
      <w:r w:rsidRPr="00392AC9">
        <w:t>, 2020; Yusuf, 2018). Consequently, while youths may acquire ICT literacy, their ability to employ these skills for civic purposes—such as participating in democratic dialogues, advocating for social change, and holding public officials accountable—remains fragmented and uneven across socio-economic and geographical lines.</w:t>
      </w:r>
    </w:p>
    <w:p w:rsidR="005D4793" w:rsidRPr="00392AC9" w:rsidRDefault="005D4793" w:rsidP="001374B3">
      <w:pPr>
        <w:pStyle w:val="NormalWeb"/>
        <w:spacing w:before="0" w:beforeAutospacing="0" w:after="0" w:afterAutospacing="0" w:line="480" w:lineRule="auto"/>
        <w:ind w:firstLine="720"/>
        <w:jc w:val="both"/>
      </w:pPr>
      <w:r w:rsidRPr="00392AC9">
        <w:t>Research has shown that Nigerian youths frequently engage on digital platforms like Twitter, Facebook, and WhatsApp to deliberate on national issues, demand transparency, and mobilize for civic causes (</w:t>
      </w:r>
      <w:proofErr w:type="spellStart"/>
      <w:r w:rsidRPr="00392AC9">
        <w:t>Okoye</w:t>
      </w:r>
      <w:proofErr w:type="spellEnd"/>
      <w:r w:rsidRPr="00392AC9">
        <w:t>, 2022). However, such engagement is often sporadic, l</w:t>
      </w:r>
      <w:r w:rsidR="00793115">
        <w:t>acking institutional support</w:t>
      </w:r>
      <w:r w:rsidRPr="00392AC9">
        <w:t xml:space="preserve"> rarely linked to formal educational processes that could nurture sustainable civic competencies (</w:t>
      </w:r>
      <w:proofErr w:type="spellStart"/>
      <w:r w:rsidRPr="00392AC9">
        <w:t>Olatunji</w:t>
      </w:r>
      <w:proofErr w:type="spellEnd"/>
      <w:r w:rsidRPr="00392AC9">
        <w:t>, 2019). Moreover, the civic potentials of ICT are sometimes undermined by challenges such as misinformation, digital divides, and government censorship of online spaces (</w:t>
      </w:r>
      <w:proofErr w:type="spellStart"/>
      <w:r w:rsidRPr="00392AC9">
        <w:t>Ojo</w:t>
      </w:r>
      <w:proofErr w:type="spellEnd"/>
      <w:r w:rsidRPr="00392AC9">
        <w:t xml:space="preserve">, 2021). Thus, while ICT has the capacity to amplify youth voices in governance </w:t>
      </w:r>
      <w:r w:rsidRPr="00392AC9">
        <w:lastRenderedPageBreak/>
        <w:t>and development, the systemic disconnect between ICT skills taught in schools and practical civic engagement in society persists.</w:t>
      </w:r>
    </w:p>
    <w:p w:rsidR="005D4793" w:rsidRPr="00392AC9" w:rsidRDefault="005D4793" w:rsidP="001374B3">
      <w:pPr>
        <w:pStyle w:val="NormalWeb"/>
        <w:spacing w:before="0" w:beforeAutospacing="0" w:after="0" w:afterAutospacing="0" w:line="480" w:lineRule="auto"/>
        <w:ind w:firstLine="720"/>
        <w:jc w:val="both"/>
      </w:pPr>
      <w:r w:rsidRPr="00392AC9">
        <w:t>The urgency of addressing this problem is heightened by Nigeria’s democratic context, where youths increasingly demand inclusion in decision-making but are simultaneously confronted with disillusionment, unemployment, and weakened trust in institutions (</w:t>
      </w:r>
      <w:proofErr w:type="spellStart"/>
      <w:r w:rsidRPr="00392AC9">
        <w:t>Fahm</w:t>
      </w:r>
      <w:proofErr w:type="spellEnd"/>
      <w:r w:rsidRPr="00392AC9">
        <w:t>, 2021). The disconnect between ICT integration in technology education and civic engagement not only undermines the goals of national development but also limits the realization of the Sustainable Development Goals (SDGs), particularly Goal 4 on quality education and Goal 16 on peace, justice, and strong institutions (United Nations, 2020).</w:t>
      </w:r>
    </w:p>
    <w:p w:rsidR="005D4793" w:rsidRPr="00392AC9" w:rsidRDefault="005D4793" w:rsidP="001374B3">
      <w:pPr>
        <w:pStyle w:val="NormalWeb"/>
        <w:spacing w:before="0" w:beforeAutospacing="0" w:after="0" w:afterAutospacing="0" w:line="480" w:lineRule="auto"/>
        <w:ind w:firstLine="720"/>
        <w:jc w:val="both"/>
      </w:pPr>
      <w:r w:rsidRPr="00392AC9">
        <w:t>Therefore, the central problem this study seeks to investigate is the extent to which ICT integration in technology education influences civic engagement among Nigerian youths. Specifically, it interrogates the structural, pedagogical, and socio-cultural barriers that hinder the translation of ICT skills into meaningful civic participation, while also exploring the enabling factors that can bridge this gap. Understanding this nexus is vital for designing education and policy interventions that leverage ICT not only for economic advancement but also for strengthening democratic culture and civic responsibility among young people in Nigeria.</w:t>
      </w:r>
    </w:p>
    <w:p w:rsidR="005D4793" w:rsidRPr="00392AC9" w:rsidRDefault="005D4793"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Purpose of the Study</w:t>
      </w:r>
    </w:p>
    <w:p w:rsidR="005D4793" w:rsidRPr="00392AC9" w:rsidRDefault="005D4793" w:rsidP="001374B3">
      <w:pPr>
        <w:pStyle w:val="NormalWeb"/>
        <w:spacing w:before="0" w:beforeAutospacing="0" w:after="0" w:afterAutospacing="0" w:line="480" w:lineRule="auto"/>
        <w:ind w:firstLine="360"/>
        <w:jc w:val="both"/>
      </w:pPr>
      <w:r w:rsidRPr="00392AC9">
        <w:t xml:space="preserve">The primary purpose of this study is to empirically investigate the impact of ICT integration in technology education on civic engagement among youths in Nigeria. Specifically, the study seeks: </w:t>
      </w:r>
    </w:p>
    <w:p w:rsidR="005D4793" w:rsidRPr="00F36D4A" w:rsidRDefault="005D4793" w:rsidP="00793115">
      <w:pPr>
        <w:pStyle w:val="NormalWeb"/>
        <w:numPr>
          <w:ilvl w:val="0"/>
          <w:numId w:val="1"/>
        </w:numPr>
        <w:spacing w:before="0" w:beforeAutospacing="0" w:after="0" w:afterAutospacing="0" w:line="480" w:lineRule="auto"/>
        <w:jc w:val="both"/>
      </w:pPr>
      <w:r w:rsidRPr="00F36D4A">
        <w:rPr>
          <w:bCs/>
        </w:rPr>
        <w:t>To examine the relationship between the level of ICT integration in technology education classrooms and students’ civic knowledge.</w:t>
      </w:r>
    </w:p>
    <w:p w:rsidR="005D4793" w:rsidRPr="00F36D4A" w:rsidRDefault="005D4793" w:rsidP="00793115">
      <w:pPr>
        <w:numPr>
          <w:ilvl w:val="0"/>
          <w:numId w:val="1"/>
        </w:numPr>
        <w:spacing w:after="0" w:line="480" w:lineRule="auto"/>
        <w:jc w:val="both"/>
        <w:rPr>
          <w:rFonts w:ascii="Times New Roman" w:eastAsia="Times New Roman" w:hAnsi="Times New Roman" w:cs="Times New Roman"/>
          <w:sz w:val="24"/>
          <w:szCs w:val="24"/>
        </w:rPr>
      </w:pPr>
      <w:r w:rsidRPr="00F36D4A">
        <w:rPr>
          <w:rFonts w:ascii="Times New Roman" w:eastAsia="Times New Roman" w:hAnsi="Times New Roman" w:cs="Times New Roman"/>
          <w:bCs/>
          <w:sz w:val="24"/>
          <w:szCs w:val="24"/>
        </w:rPr>
        <w:lastRenderedPageBreak/>
        <w:t>To investigate how ICT integration in technology education relates to youths’ civic participation intentions and their reported civic actions, both online and offline.</w:t>
      </w:r>
    </w:p>
    <w:p w:rsidR="005D4793" w:rsidRPr="00392AC9" w:rsidRDefault="005D4793" w:rsidP="00793115">
      <w:pPr>
        <w:numPr>
          <w:ilvl w:val="0"/>
          <w:numId w:val="1"/>
        </w:numPr>
        <w:spacing w:after="0" w:line="480" w:lineRule="auto"/>
        <w:jc w:val="both"/>
        <w:rPr>
          <w:rFonts w:ascii="Times New Roman" w:eastAsia="Times New Roman" w:hAnsi="Times New Roman" w:cs="Times New Roman"/>
          <w:sz w:val="24"/>
          <w:szCs w:val="24"/>
        </w:rPr>
      </w:pPr>
      <w:r w:rsidRPr="00F36D4A">
        <w:rPr>
          <w:rFonts w:ascii="Times New Roman" w:eastAsia="Times New Roman" w:hAnsi="Times New Roman" w:cs="Times New Roman"/>
          <w:bCs/>
          <w:sz w:val="24"/>
          <w:szCs w:val="24"/>
        </w:rPr>
        <w:t>To identify the contextual barriers and enablers that affect the translation of classroom ICT experiences into meaningful civic engagement among youths.</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Research questions</w:t>
      </w:r>
    </w:p>
    <w:p w:rsidR="005D4793" w:rsidRPr="00392AC9" w:rsidRDefault="005D4793" w:rsidP="00793115">
      <w:pPr>
        <w:numPr>
          <w:ilvl w:val="0"/>
          <w:numId w:val="2"/>
        </w:num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What is the relationship between the level of ICT integration in technology education classrooms and students’ civic knowledge?</w:t>
      </w:r>
    </w:p>
    <w:p w:rsidR="005D4793" w:rsidRPr="00392AC9" w:rsidRDefault="005D4793" w:rsidP="00793115">
      <w:pPr>
        <w:numPr>
          <w:ilvl w:val="0"/>
          <w:numId w:val="2"/>
        </w:num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How does ICT integration in technology education relate to youths’ civic participation intentions and reported civic actions (online and offline)?</w:t>
      </w:r>
    </w:p>
    <w:p w:rsidR="00134260" w:rsidRPr="009D4971" w:rsidRDefault="005D4793" w:rsidP="009D4971">
      <w:pPr>
        <w:numPr>
          <w:ilvl w:val="0"/>
          <w:numId w:val="2"/>
        </w:num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What contextual barriers and enablers affect the translation of classroom ICT experiences into civic engagement?</w:t>
      </w:r>
    </w:p>
    <w:p w:rsidR="00B7624E" w:rsidRDefault="005D4793" w:rsidP="00793115">
      <w:pPr>
        <w:spacing w:after="0" w:line="480" w:lineRule="auto"/>
        <w:ind w:left="90" w:hanging="90"/>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Hypotheses</w:t>
      </w:r>
    </w:p>
    <w:p w:rsidR="00B7624E" w:rsidRDefault="002C2E5A" w:rsidP="00793115">
      <w:pPr>
        <w:spacing w:after="0" w:line="480" w:lineRule="auto"/>
        <w:ind w:left="45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Ho₁</w:t>
      </w:r>
      <w:r w:rsidR="005D4793" w:rsidRPr="00392AC9">
        <w:rPr>
          <w:rFonts w:ascii="Times New Roman" w:eastAsia="Times New Roman" w:hAnsi="Times New Roman" w:cs="Times New Roman"/>
          <w:sz w:val="24"/>
          <w:szCs w:val="24"/>
        </w:rPr>
        <w:t>: Higher ICT integration scores (composite of access, teache</w:t>
      </w:r>
      <w:r w:rsidR="00B7624E">
        <w:rPr>
          <w:rFonts w:ascii="Times New Roman" w:eastAsia="Times New Roman" w:hAnsi="Times New Roman" w:cs="Times New Roman"/>
          <w:sz w:val="24"/>
          <w:szCs w:val="24"/>
        </w:rPr>
        <w:t xml:space="preserve">r competence, ICT-enabled civic </w:t>
      </w:r>
      <w:r w:rsidR="005D4793" w:rsidRPr="00392AC9">
        <w:rPr>
          <w:rFonts w:ascii="Times New Roman" w:eastAsia="Times New Roman" w:hAnsi="Times New Roman" w:cs="Times New Roman"/>
          <w:sz w:val="24"/>
          <w:szCs w:val="24"/>
        </w:rPr>
        <w:t>activities) are positively associated with higher civic k</w:t>
      </w:r>
      <w:r w:rsidR="00B7624E">
        <w:rPr>
          <w:rFonts w:ascii="Times New Roman" w:eastAsia="Times New Roman" w:hAnsi="Times New Roman" w:cs="Times New Roman"/>
          <w:sz w:val="24"/>
          <w:szCs w:val="24"/>
        </w:rPr>
        <w:t>nowledge scores among students.</w:t>
      </w:r>
    </w:p>
    <w:p w:rsidR="00B7624E" w:rsidRDefault="002C2E5A" w:rsidP="00793115">
      <w:pPr>
        <w:spacing w:after="0" w:line="480" w:lineRule="auto"/>
        <w:ind w:left="45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Ho₂</w:t>
      </w:r>
      <w:r w:rsidR="005D4793" w:rsidRPr="00392AC9">
        <w:rPr>
          <w:rFonts w:ascii="Times New Roman" w:eastAsia="Times New Roman" w:hAnsi="Times New Roman" w:cs="Times New Roman"/>
          <w:sz w:val="24"/>
          <w:szCs w:val="24"/>
        </w:rPr>
        <w:t>: Higher ICT integration scores are positively associated with greater self-reported civic participation inten</w:t>
      </w:r>
      <w:r w:rsidR="00B7624E">
        <w:rPr>
          <w:rFonts w:ascii="Times New Roman" w:eastAsia="Times New Roman" w:hAnsi="Times New Roman" w:cs="Times New Roman"/>
          <w:sz w:val="24"/>
          <w:szCs w:val="24"/>
        </w:rPr>
        <w:t>tions and recent civic actions.</w:t>
      </w:r>
    </w:p>
    <w:p w:rsidR="005D4793" w:rsidRPr="00392AC9" w:rsidRDefault="002C2E5A" w:rsidP="00793115">
      <w:pPr>
        <w:spacing w:after="0" w:line="480" w:lineRule="auto"/>
        <w:ind w:left="450" w:hanging="4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Ho₃</w:t>
      </w:r>
      <w:r w:rsidR="005D4793" w:rsidRPr="00392AC9">
        <w:rPr>
          <w:rFonts w:ascii="Times New Roman" w:eastAsia="Times New Roman" w:hAnsi="Times New Roman" w:cs="Times New Roman"/>
          <w:sz w:val="24"/>
          <w:szCs w:val="24"/>
        </w:rPr>
        <w:t>: The positive association between ICT integration and civic outcomes is moderated by infrastructure access (internet reliability) and teacher ICT competence.</w:t>
      </w:r>
    </w:p>
    <w:p w:rsidR="00B7624E" w:rsidRPr="00793115"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Literature Review</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ICT, Education and Civic Outcomes</w:t>
      </w:r>
    </w:p>
    <w:p w:rsidR="005D4793" w:rsidRPr="00392AC9" w:rsidRDefault="005D4793" w:rsidP="00134260">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The relationship between ICT use in education and civic outcomes has been widely discussed. UNICEF’s synthesis emphasizes that digital tools can both enable new forms of civic participation (information-sharing, collective action, online delibera</w:t>
      </w:r>
      <w:r w:rsidR="00793115">
        <w:rPr>
          <w:rFonts w:ascii="Times New Roman" w:eastAsia="Times New Roman" w:hAnsi="Times New Roman" w:cs="Times New Roman"/>
          <w:sz w:val="24"/>
          <w:szCs w:val="24"/>
        </w:rPr>
        <w:t xml:space="preserve">tion) and create risks </w:t>
      </w:r>
      <w:r w:rsidR="00793115">
        <w:rPr>
          <w:rFonts w:ascii="Times New Roman" w:eastAsia="Times New Roman" w:hAnsi="Times New Roman" w:cs="Times New Roman"/>
          <w:sz w:val="24"/>
          <w:szCs w:val="24"/>
        </w:rPr>
        <w:lastRenderedPageBreak/>
        <w:t>including</w:t>
      </w:r>
      <w:r w:rsidRPr="00392AC9">
        <w:rPr>
          <w:rFonts w:ascii="Times New Roman" w:eastAsia="Times New Roman" w:hAnsi="Times New Roman" w:cs="Times New Roman"/>
          <w:sz w:val="24"/>
          <w:szCs w:val="24"/>
        </w:rPr>
        <w:t xml:space="preserve"> misinformation and exclusion (United Nations Children’s Fund, 2020). Studies in the Nigerian context document how digital media shaped youth political participation during key events (Wired, 2023; </w:t>
      </w:r>
      <w:proofErr w:type="spellStart"/>
      <w:r w:rsidRPr="00392AC9">
        <w:rPr>
          <w:rFonts w:ascii="Times New Roman" w:eastAsia="Times New Roman" w:hAnsi="Times New Roman" w:cs="Times New Roman"/>
          <w:sz w:val="24"/>
          <w:szCs w:val="24"/>
        </w:rPr>
        <w:t>TeenVogue</w:t>
      </w:r>
      <w:proofErr w:type="spellEnd"/>
      <w:r w:rsidRPr="00392AC9">
        <w:rPr>
          <w:rFonts w:ascii="Times New Roman" w:eastAsia="Times New Roman" w:hAnsi="Times New Roman" w:cs="Times New Roman"/>
          <w:sz w:val="24"/>
          <w:szCs w:val="24"/>
        </w:rPr>
        <w:t>, 2023), illustrating the real-world civic effects of youth digital engagement.</w:t>
      </w:r>
    </w:p>
    <w:p w:rsidR="00134260" w:rsidRPr="009D4971" w:rsidRDefault="005D4793" w:rsidP="009D4971">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Research on ICT integration in schools suggests that meaningful integration (not just hardware presence) — meaning teacher competence, curriculum integration, and pedagogical change — is required for the promised educational and social outcomes to materialize (</w:t>
      </w:r>
      <w:proofErr w:type="spellStart"/>
      <w:r w:rsidRPr="00392AC9">
        <w:rPr>
          <w:rFonts w:ascii="Times New Roman" w:eastAsia="Times New Roman" w:hAnsi="Times New Roman" w:cs="Times New Roman"/>
          <w:sz w:val="24"/>
          <w:szCs w:val="24"/>
        </w:rPr>
        <w:t>Ghavifekr</w:t>
      </w:r>
      <w:proofErr w:type="spellEnd"/>
      <w:r w:rsidRPr="00392AC9">
        <w:rPr>
          <w:rFonts w:ascii="Times New Roman" w:eastAsia="Times New Roman" w:hAnsi="Times New Roman" w:cs="Times New Roman"/>
          <w:sz w:val="24"/>
          <w:szCs w:val="24"/>
        </w:rPr>
        <w:t>, 2015). In Nigeria, specific studies of ICT in non-formal and vocational programs show promise for civic uses of digital literacy (</w:t>
      </w:r>
      <w:proofErr w:type="spellStart"/>
      <w:r w:rsidRPr="00392AC9">
        <w:rPr>
          <w:rFonts w:ascii="Times New Roman" w:eastAsia="Times New Roman" w:hAnsi="Times New Roman" w:cs="Times New Roman"/>
          <w:sz w:val="24"/>
          <w:szCs w:val="24"/>
        </w:rPr>
        <w:t>Bessong</w:t>
      </w:r>
      <w:proofErr w:type="spellEnd"/>
      <w:r w:rsidRPr="00392AC9">
        <w:rPr>
          <w:rFonts w:ascii="Times New Roman" w:eastAsia="Times New Roman" w:hAnsi="Times New Roman" w:cs="Times New Roman"/>
          <w:sz w:val="24"/>
          <w:szCs w:val="24"/>
        </w:rPr>
        <w:t>, 2024), while other national reports point to infrastructure and skill gaps that limit benefits (UNICEF Nigeria, 2025).</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Technology Education and Youth Capacities</w:t>
      </w:r>
    </w:p>
    <w:p w:rsidR="00832B7B" w:rsidRPr="00392AC9" w:rsidRDefault="005D4793" w:rsidP="00134260">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Technology education’s emphasis on hands-on problem-solving, design thinking, and applied digital skills gives it a particular potential to foster civic-minded problem solvers who apply ICT for community challenges (UNICEF Nigeria, 2025). Empirical investigations into educational technology interventions suggest that when learning activities purposely link ICT tasks to community issues (for example</w:t>
      </w:r>
      <w:r w:rsidR="00793115">
        <w:rPr>
          <w:rFonts w:ascii="Times New Roman" w:eastAsia="Times New Roman" w:hAnsi="Times New Roman" w:cs="Times New Roman"/>
          <w:sz w:val="24"/>
          <w:szCs w:val="24"/>
        </w:rPr>
        <w:t>,</w:t>
      </w:r>
      <w:r w:rsidRPr="00392AC9">
        <w:rPr>
          <w:rFonts w:ascii="Times New Roman" w:eastAsia="Times New Roman" w:hAnsi="Times New Roman" w:cs="Times New Roman"/>
          <w:sz w:val="24"/>
          <w:szCs w:val="24"/>
        </w:rPr>
        <w:t xml:space="preserve"> design challenges addressing public health), students develop civic competencies alongside digital skills (UNICEF, 2020; UNICEF Nigeria, 2025).</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Digital Civic Tools and Youth Participation in Nigeria</w:t>
      </w:r>
    </w:p>
    <w:p w:rsidR="00793115" w:rsidRPr="00134260" w:rsidRDefault="005D4793" w:rsidP="00134260">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A national study by Restless Development documented the adoption of civic-tech tools among youth and its association with election-related engagement and accountability activities (Restless Development, 2024). The 2020 #</w:t>
      </w:r>
      <w:proofErr w:type="spellStart"/>
      <w:r w:rsidRPr="00392AC9">
        <w:rPr>
          <w:rFonts w:ascii="Times New Roman" w:eastAsia="Times New Roman" w:hAnsi="Times New Roman" w:cs="Times New Roman"/>
          <w:sz w:val="24"/>
          <w:szCs w:val="24"/>
        </w:rPr>
        <w:t>EndSARS</w:t>
      </w:r>
      <w:proofErr w:type="spellEnd"/>
      <w:r w:rsidRPr="00392AC9">
        <w:rPr>
          <w:rFonts w:ascii="Times New Roman" w:eastAsia="Times New Roman" w:hAnsi="Times New Roman" w:cs="Times New Roman"/>
          <w:sz w:val="24"/>
          <w:szCs w:val="24"/>
        </w:rPr>
        <w:t xml:space="preserve"> movement and the online mobilization around the 2023 elections showcased the practical role of digital platforms in amplifying youth voice and organizing offline action (Wired, 2023). However, researchers caution that online reach </w:t>
      </w:r>
      <w:r w:rsidRPr="00392AC9">
        <w:rPr>
          <w:rFonts w:ascii="Times New Roman" w:eastAsia="Times New Roman" w:hAnsi="Times New Roman" w:cs="Times New Roman"/>
          <w:sz w:val="24"/>
          <w:szCs w:val="24"/>
        </w:rPr>
        <w:lastRenderedPageBreak/>
        <w:t>does not uniformly translate to meaningful civic participation because of digital divides and algorithmic information environments (United Nations Children’s Fund, 2020; The Growing Digital Footprint of Nigerian Youth, 2024).</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Gaps and Rationale for this Study</w:t>
      </w:r>
    </w:p>
    <w:p w:rsidR="00134260" w:rsidRPr="009D4971" w:rsidRDefault="005D4793" w:rsidP="009D4971">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Most prior work documents correlations and phenomena; fewer empirical studies combine measured ICT integration at the classroom level inside technology education </w:t>
      </w:r>
      <w:proofErr w:type="spellStart"/>
      <w:r w:rsidRPr="00392AC9">
        <w:rPr>
          <w:rFonts w:ascii="Times New Roman" w:eastAsia="Times New Roman" w:hAnsi="Times New Roman" w:cs="Times New Roman"/>
          <w:sz w:val="24"/>
          <w:szCs w:val="24"/>
        </w:rPr>
        <w:t>programmes</w:t>
      </w:r>
      <w:proofErr w:type="spellEnd"/>
      <w:r w:rsidRPr="00392AC9">
        <w:rPr>
          <w:rFonts w:ascii="Times New Roman" w:eastAsia="Times New Roman" w:hAnsi="Times New Roman" w:cs="Times New Roman"/>
          <w:sz w:val="24"/>
          <w:szCs w:val="24"/>
        </w:rPr>
        <w:t xml:space="preserve"> and survey-based measures of civic knowledge, attitudes, and </w:t>
      </w:r>
      <w:proofErr w:type="spellStart"/>
      <w:r w:rsidRPr="00392AC9">
        <w:rPr>
          <w:rFonts w:ascii="Times New Roman" w:eastAsia="Times New Roman" w:hAnsi="Times New Roman" w:cs="Times New Roman"/>
          <w:sz w:val="24"/>
          <w:szCs w:val="24"/>
        </w:rPr>
        <w:t>behaviour</w:t>
      </w:r>
      <w:proofErr w:type="spellEnd"/>
      <w:r w:rsidRPr="00392AC9">
        <w:rPr>
          <w:rFonts w:ascii="Times New Roman" w:eastAsia="Times New Roman" w:hAnsi="Times New Roman" w:cs="Times New Roman"/>
          <w:sz w:val="24"/>
          <w:szCs w:val="24"/>
        </w:rPr>
        <w:t xml:space="preserve"> in Nigeria. This study addresses that gap with a mixed-methods approach across diverse regions.</w:t>
      </w:r>
    </w:p>
    <w:p w:rsidR="005D4793" w:rsidRPr="00392AC9" w:rsidRDefault="005D4793" w:rsidP="00793115">
      <w:pPr>
        <w:spacing w:after="0" w:line="480" w:lineRule="auto"/>
        <w:jc w:val="both"/>
        <w:rPr>
          <w:rFonts w:ascii="Times New Roman" w:eastAsia="Times New Roman" w:hAnsi="Times New Roman" w:cs="Times New Roman"/>
          <w:sz w:val="24"/>
          <w:szCs w:val="24"/>
        </w:rPr>
      </w:pPr>
      <w:r w:rsidRPr="00392AC9">
        <w:rPr>
          <w:rFonts w:ascii="Times New Roman" w:eastAsia="Times New Roman" w:hAnsi="Times New Roman" w:cs="Times New Roman"/>
          <w:b/>
          <w:bCs/>
          <w:sz w:val="24"/>
          <w:szCs w:val="24"/>
        </w:rPr>
        <w:t>Theoretical Framework</w:t>
      </w:r>
    </w:p>
    <w:p w:rsidR="005D4793" w:rsidRPr="00392AC9" w:rsidRDefault="005D4793" w:rsidP="00134260">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Two recent strands of theoretical work guided this study. First, the </w:t>
      </w:r>
      <w:r w:rsidRPr="00392AC9">
        <w:rPr>
          <w:rFonts w:ascii="Times New Roman" w:eastAsia="Times New Roman" w:hAnsi="Times New Roman" w:cs="Times New Roman"/>
          <w:i/>
          <w:iCs/>
          <w:sz w:val="24"/>
          <w:szCs w:val="24"/>
        </w:rPr>
        <w:t>Digital Civic Engagement Framework</w:t>
      </w:r>
      <w:r w:rsidRPr="00392AC9">
        <w:rPr>
          <w:rFonts w:ascii="Times New Roman" w:eastAsia="Times New Roman" w:hAnsi="Times New Roman" w:cs="Times New Roman"/>
          <w:sz w:val="24"/>
          <w:szCs w:val="24"/>
        </w:rPr>
        <w:t xml:space="preserve"> emphasizes that digital skills, access, and civic-oriented pedagogy combine to enable digital civic participation (United Nations Children’s Fund, 2020). Second, literature on </w:t>
      </w:r>
      <w:r w:rsidRPr="00392AC9">
        <w:rPr>
          <w:rFonts w:ascii="Times New Roman" w:eastAsia="Times New Roman" w:hAnsi="Times New Roman" w:cs="Times New Roman"/>
          <w:i/>
          <w:iCs/>
          <w:sz w:val="24"/>
          <w:szCs w:val="24"/>
        </w:rPr>
        <w:t>Technology Integration in Education</w:t>
      </w:r>
      <w:r w:rsidRPr="00392AC9">
        <w:rPr>
          <w:rFonts w:ascii="Times New Roman" w:eastAsia="Times New Roman" w:hAnsi="Times New Roman" w:cs="Times New Roman"/>
          <w:sz w:val="24"/>
          <w:szCs w:val="24"/>
        </w:rPr>
        <w:t xml:space="preserve"> posits that ICT must be embedded into pedagogy (teacher competence, curricular alignment, task redesign) to produce downstream effects on learner outcomes (</w:t>
      </w:r>
      <w:proofErr w:type="spellStart"/>
      <w:r w:rsidRPr="00392AC9">
        <w:rPr>
          <w:rFonts w:ascii="Times New Roman" w:eastAsia="Times New Roman" w:hAnsi="Times New Roman" w:cs="Times New Roman"/>
          <w:sz w:val="24"/>
          <w:szCs w:val="24"/>
        </w:rPr>
        <w:t>Ghavifekr</w:t>
      </w:r>
      <w:proofErr w:type="spellEnd"/>
      <w:r w:rsidRPr="00392AC9">
        <w:rPr>
          <w:rFonts w:ascii="Times New Roman" w:eastAsia="Times New Roman" w:hAnsi="Times New Roman" w:cs="Times New Roman"/>
          <w:sz w:val="24"/>
          <w:szCs w:val="24"/>
        </w:rPr>
        <w:t xml:space="preserve">, 2015; </w:t>
      </w:r>
      <w:proofErr w:type="spellStart"/>
      <w:r w:rsidRPr="00392AC9">
        <w:rPr>
          <w:rFonts w:ascii="Times New Roman" w:eastAsia="Times New Roman" w:hAnsi="Times New Roman" w:cs="Times New Roman"/>
          <w:sz w:val="24"/>
          <w:szCs w:val="24"/>
        </w:rPr>
        <w:t>Woldemariam</w:t>
      </w:r>
      <w:proofErr w:type="spellEnd"/>
      <w:r w:rsidRPr="00392AC9">
        <w:rPr>
          <w:rFonts w:ascii="Times New Roman" w:eastAsia="Times New Roman" w:hAnsi="Times New Roman" w:cs="Times New Roman"/>
          <w:sz w:val="24"/>
          <w:szCs w:val="24"/>
        </w:rPr>
        <w:t>, 2025). Combining these, the study hypothesizes that ICT integration in technology education impacts civic engagement through three mediating mechanisms: (1) civic digital literacy (skills to find, evaluate and use civic information), (2) civic motivation (intentions and self-efficacy to participate), and (3) platform-mediated opportunities (access to civic-tech and social media for civic action).</w:t>
      </w:r>
    </w:p>
    <w:p w:rsidR="0005675D"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Methodology</w:t>
      </w:r>
    </w:p>
    <w:p w:rsidR="0015241A" w:rsidRPr="003C4006" w:rsidRDefault="0015241A" w:rsidP="00793115">
      <w:pPr>
        <w:spacing w:after="0" w:line="480" w:lineRule="auto"/>
        <w:jc w:val="both"/>
        <w:rPr>
          <w:rFonts w:ascii="Times New Roman" w:hAnsi="Times New Roman" w:cs="Times New Roman"/>
          <w:b/>
          <w:sz w:val="24"/>
          <w:szCs w:val="24"/>
        </w:rPr>
      </w:pPr>
      <w:r w:rsidRPr="003C4006">
        <w:rPr>
          <w:rFonts w:ascii="Times New Roman" w:hAnsi="Times New Roman" w:cs="Times New Roman"/>
          <w:b/>
          <w:sz w:val="24"/>
          <w:szCs w:val="24"/>
        </w:rPr>
        <w:t>Research Design</w:t>
      </w:r>
    </w:p>
    <w:p w:rsidR="0005675D" w:rsidRPr="00392AC9" w:rsidRDefault="0015241A" w:rsidP="00134260">
      <w:pPr>
        <w:pStyle w:val="NormalWeb"/>
        <w:spacing w:before="0" w:beforeAutospacing="0" w:after="0" w:afterAutospacing="0" w:line="480" w:lineRule="auto"/>
        <w:ind w:firstLine="720"/>
        <w:jc w:val="both"/>
      </w:pPr>
      <w:r w:rsidRPr="00392AC9">
        <w:t xml:space="preserve">This study adopted a </w:t>
      </w:r>
      <w:r w:rsidRPr="00392AC9">
        <w:rPr>
          <w:rStyle w:val="Strong"/>
          <w:b w:val="0"/>
        </w:rPr>
        <w:t>convergent mixed-methods design</w:t>
      </w:r>
      <w:r w:rsidRPr="00392AC9">
        <w:t xml:space="preserve">, which allowed the simultaneous collection and analysis of both quantitative and qualitative data. The rationale for this design was </w:t>
      </w:r>
      <w:r w:rsidRPr="00392AC9">
        <w:lastRenderedPageBreak/>
        <w:t>to provide a comprehensive understanding of the relationship between ICT integration in technology education and civic engagement outcomes among Nigerian youths. The quantitative component employed a structured survey instrument to test hypotheses and measure relationships between ICT integration and civic knowledge, intentions, and actions. Complementing this, the qualitative component used focus group discussions (FGDs) to capture lived experiences, contextual mechanisms, and barriers that could not be fully explained by numerical data. Integrating the two strands provided triangulation and strengthened the validity of findings by combining breadth and depth in the analysis.</w:t>
      </w:r>
    </w:p>
    <w:p w:rsidR="0015241A" w:rsidRPr="003C4006" w:rsidRDefault="0015241A" w:rsidP="00793115">
      <w:pPr>
        <w:pStyle w:val="NormalWeb"/>
        <w:spacing w:before="0" w:beforeAutospacing="0" w:after="0" w:afterAutospacing="0" w:line="480" w:lineRule="auto"/>
        <w:jc w:val="both"/>
        <w:rPr>
          <w:b/>
        </w:rPr>
      </w:pPr>
      <w:r w:rsidRPr="003C4006">
        <w:rPr>
          <w:b/>
        </w:rPr>
        <w:t>Area of the Study</w:t>
      </w:r>
    </w:p>
    <w:p w:rsidR="0005675D" w:rsidRPr="00392AC9" w:rsidRDefault="0015241A" w:rsidP="00134260">
      <w:pPr>
        <w:pStyle w:val="NormalWeb"/>
        <w:spacing w:before="0" w:beforeAutospacing="0" w:after="0" w:afterAutospacing="0" w:line="480" w:lineRule="auto"/>
        <w:ind w:firstLine="720"/>
        <w:jc w:val="both"/>
      </w:pPr>
      <w:r w:rsidRPr="00392AC9">
        <w:t xml:space="preserve">The study was carried out in </w:t>
      </w:r>
      <w:r w:rsidRPr="00392AC9">
        <w:rPr>
          <w:rStyle w:val="Strong"/>
        </w:rPr>
        <w:t>s</w:t>
      </w:r>
      <w:r w:rsidRPr="00392AC9">
        <w:rPr>
          <w:rStyle w:val="Strong"/>
          <w:b w:val="0"/>
        </w:rPr>
        <w:t>ix Nigerian states</w:t>
      </w:r>
      <w:r w:rsidRPr="00392AC9">
        <w:t xml:space="preserve"> strategically selected to represent the country’s diverse </w:t>
      </w:r>
      <w:r w:rsidRPr="00392AC9">
        <w:rPr>
          <w:rStyle w:val="Strong"/>
          <w:b w:val="0"/>
        </w:rPr>
        <w:t>geopolitical zones and socio-cultural contexts</w:t>
      </w:r>
      <w:r w:rsidRPr="00392AC9">
        <w:t xml:space="preserve">. These included Lagos State (Southwest, urban hub), Enugu State (Southeast, educationally vibrant), Kaduna State (Northwest, with diverse urban-rural dynamics), Rivers State (South-South, oil-rich but socio-politically volatile), Oyo State (Southwest, with both rural and urban educational institutions), and Kano State (North, characterized by a strong youth population and socio-cultural traditions). Within each of these states, the research was conducted in </w:t>
      </w:r>
      <w:r w:rsidRPr="00392AC9">
        <w:rPr>
          <w:rStyle w:val="Strong"/>
          <w:b w:val="0"/>
        </w:rPr>
        <w:t>Colleges of Education and state polytechnics</w:t>
      </w:r>
      <w:r w:rsidRPr="00392AC9">
        <w:t xml:space="preserve"> that run technology education </w:t>
      </w:r>
      <w:proofErr w:type="spellStart"/>
      <w:r w:rsidRPr="00392AC9">
        <w:t>programmes</w:t>
      </w:r>
      <w:proofErr w:type="spellEnd"/>
      <w:r w:rsidRPr="00392AC9">
        <w:t>. These institutions were selected purposively because they provide specialized training in applied technology and ICT-related disciplines, thereby offering an ideal context for examining how ICT integration in technology education impacts civic engagement.</w:t>
      </w:r>
    </w:p>
    <w:p w:rsidR="0015241A" w:rsidRPr="003C4006" w:rsidRDefault="0015241A" w:rsidP="00793115">
      <w:pPr>
        <w:pStyle w:val="NormalWeb"/>
        <w:spacing w:before="0" w:beforeAutospacing="0" w:after="0" w:afterAutospacing="0" w:line="480" w:lineRule="auto"/>
        <w:jc w:val="both"/>
        <w:rPr>
          <w:b/>
        </w:rPr>
      </w:pPr>
      <w:r w:rsidRPr="003C4006">
        <w:rPr>
          <w:b/>
        </w:rPr>
        <w:t>Population of the Study</w:t>
      </w:r>
    </w:p>
    <w:p w:rsidR="0005675D" w:rsidRPr="00392AC9" w:rsidRDefault="0015241A" w:rsidP="00134260">
      <w:pPr>
        <w:pStyle w:val="NormalWeb"/>
        <w:spacing w:before="0" w:beforeAutospacing="0" w:after="0" w:afterAutospacing="0" w:line="480" w:lineRule="auto"/>
        <w:ind w:firstLine="720"/>
        <w:jc w:val="both"/>
      </w:pPr>
      <w:r w:rsidRPr="00392AC9">
        <w:t xml:space="preserve">The target population comprised all </w:t>
      </w:r>
      <w:r w:rsidRPr="00392AC9">
        <w:rPr>
          <w:rStyle w:val="Strong"/>
          <w:b w:val="0"/>
        </w:rPr>
        <w:t xml:space="preserve">final-year students enrolled in technology education </w:t>
      </w:r>
      <w:proofErr w:type="spellStart"/>
      <w:r w:rsidRPr="00392AC9">
        <w:rPr>
          <w:rStyle w:val="Strong"/>
          <w:b w:val="0"/>
        </w:rPr>
        <w:t>programmes</w:t>
      </w:r>
      <w:proofErr w:type="spellEnd"/>
      <w:r w:rsidRPr="00392AC9">
        <w:t xml:space="preserve"> across the selected Colleges of Education and polytechnics. This category of students </w:t>
      </w:r>
      <w:r w:rsidRPr="00392AC9">
        <w:lastRenderedPageBreak/>
        <w:t xml:space="preserve">was chosen because they are at the end of their formal training in ICT and technology education, making them better positioned to reflect on how their exposure to ICT-enabled instruction influences their civic knowledge, attitudes, and </w:t>
      </w:r>
      <w:proofErr w:type="spellStart"/>
      <w:r w:rsidRPr="00392AC9">
        <w:t>behavio</w:t>
      </w:r>
      <w:r w:rsidR="00134260">
        <w:t>u</w:t>
      </w:r>
      <w:r w:rsidRPr="00392AC9">
        <w:t>rs</w:t>
      </w:r>
      <w:proofErr w:type="spellEnd"/>
      <w:r w:rsidRPr="00392AC9">
        <w:t>. Additionally, final-year students are at a critical transition stage into the wider society and workforce, where civic participation is increasingly expected.</w:t>
      </w:r>
    </w:p>
    <w:p w:rsidR="0015241A" w:rsidRPr="003C4006" w:rsidRDefault="0005675D" w:rsidP="00793115">
      <w:pPr>
        <w:pStyle w:val="NormalWeb"/>
        <w:spacing w:before="0" w:beforeAutospacing="0" w:after="0" w:afterAutospacing="0" w:line="480" w:lineRule="auto"/>
        <w:jc w:val="both"/>
        <w:rPr>
          <w:b/>
        </w:rPr>
      </w:pPr>
      <w:r w:rsidRPr="00392AC9">
        <w:t xml:space="preserve"> </w:t>
      </w:r>
      <w:r w:rsidR="0015241A" w:rsidRPr="003C4006">
        <w:rPr>
          <w:b/>
        </w:rPr>
        <w:t>Sample and Sampling Techniques</w:t>
      </w:r>
    </w:p>
    <w:p w:rsidR="0015241A" w:rsidRPr="00392AC9" w:rsidRDefault="0015241A" w:rsidP="00134260">
      <w:pPr>
        <w:pStyle w:val="NormalWeb"/>
        <w:spacing w:before="0" w:beforeAutospacing="0" w:after="0" w:afterAutospacing="0" w:line="480" w:lineRule="auto"/>
        <w:ind w:firstLine="720"/>
        <w:jc w:val="both"/>
      </w:pPr>
      <w:r w:rsidRPr="00392AC9">
        <w:t xml:space="preserve">From the six selected states, one institution per state was included in the study. A </w:t>
      </w:r>
      <w:r w:rsidRPr="00392AC9">
        <w:rPr>
          <w:rStyle w:val="Strong"/>
          <w:b w:val="0"/>
        </w:rPr>
        <w:t>stratified random sampling technique</w:t>
      </w:r>
      <w:r w:rsidRPr="00392AC9">
        <w:t xml:space="preserve"> was used to ensure that respondents were proportionally drawn from different departments within technology education </w:t>
      </w:r>
      <w:proofErr w:type="spellStart"/>
      <w:r w:rsidRPr="00392AC9">
        <w:t>programmes</w:t>
      </w:r>
      <w:proofErr w:type="spellEnd"/>
      <w:r w:rsidRPr="00392AC9">
        <w:t xml:space="preserve">. The final </w:t>
      </w:r>
      <w:r w:rsidRPr="00392AC9">
        <w:rPr>
          <w:rStyle w:val="Strong"/>
          <w:b w:val="0"/>
        </w:rPr>
        <w:t>quantitative sample consisted of 720 students</w:t>
      </w:r>
      <w:r w:rsidRPr="00392AC9">
        <w:rPr>
          <w:b/>
        </w:rPr>
        <w:t>,</w:t>
      </w:r>
      <w:r w:rsidRPr="00392AC9">
        <w:t xml:space="preserve"> with approximately 120 respondents from each state. Stratification ensured representation across gender, departmental specialization, and socio-economic backgrounds.</w:t>
      </w:r>
    </w:p>
    <w:p w:rsidR="00C170D9" w:rsidRPr="00392AC9" w:rsidRDefault="0015241A" w:rsidP="00134260">
      <w:pPr>
        <w:pStyle w:val="NormalWeb"/>
        <w:spacing w:before="0" w:beforeAutospacing="0" w:after="0" w:afterAutospacing="0" w:line="480" w:lineRule="auto"/>
        <w:ind w:firstLine="720"/>
        <w:jc w:val="both"/>
      </w:pPr>
      <w:r w:rsidRPr="00392AC9">
        <w:t xml:space="preserve">For the qualitative component, a </w:t>
      </w:r>
      <w:r w:rsidRPr="00392AC9">
        <w:rPr>
          <w:rStyle w:val="Strong"/>
          <w:b w:val="0"/>
        </w:rPr>
        <w:t>purposive sampling approach</w:t>
      </w:r>
      <w:r w:rsidRPr="00392AC9">
        <w:rPr>
          <w:b/>
        </w:rPr>
        <w:t xml:space="preserve"> </w:t>
      </w:r>
      <w:r w:rsidRPr="00392AC9">
        <w:t xml:space="preserve">was employed to select participants from the survey respondents who indicated willingness to participate in follow-up discussions. A total of </w:t>
      </w:r>
      <w:r w:rsidRPr="00392AC9">
        <w:rPr>
          <w:rStyle w:val="Strong"/>
          <w:b w:val="0"/>
        </w:rPr>
        <w:t>12 focus group discussions (FGDs)</w:t>
      </w:r>
      <w:r w:rsidRPr="00392AC9">
        <w:rPr>
          <w:b/>
        </w:rPr>
        <w:t xml:space="preserve"> </w:t>
      </w:r>
      <w:r w:rsidRPr="00392AC9">
        <w:t xml:space="preserve">were conducted, with two FGDs in each state. Each FGD comprised between </w:t>
      </w:r>
      <w:r w:rsidRPr="00392AC9">
        <w:rPr>
          <w:rStyle w:val="Strong"/>
          <w:b w:val="0"/>
        </w:rPr>
        <w:t>6 and 10 participants</w:t>
      </w:r>
      <w:r w:rsidRPr="00392AC9">
        <w:t>, making the overall qualitative sample 96 respondents. This approach allowed for in-depth exploration of experiences, perceptions, and contextual issues related to ICT integration and civic engagement.</w:t>
      </w:r>
    </w:p>
    <w:p w:rsidR="0015241A" w:rsidRPr="00392AC9" w:rsidRDefault="0015241A" w:rsidP="00793115">
      <w:pPr>
        <w:pStyle w:val="NormalWeb"/>
        <w:spacing w:before="0" w:beforeAutospacing="0" w:after="0" w:afterAutospacing="0" w:line="480" w:lineRule="auto"/>
        <w:jc w:val="both"/>
        <w:rPr>
          <w:b/>
        </w:rPr>
      </w:pPr>
      <w:r w:rsidRPr="00392AC9">
        <w:rPr>
          <w:b/>
        </w:rPr>
        <w:t>Instrument for Data Collection</w:t>
      </w:r>
    </w:p>
    <w:p w:rsidR="0015241A" w:rsidRPr="00392AC9" w:rsidRDefault="0015241A" w:rsidP="00134260">
      <w:pPr>
        <w:pStyle w:val="NormalWeb"/>
        <w:spacing w:before="0" w:beforeAutospacing="0" w:after="0" w:afterAutospacing="0" w:line="480" w:lineRule="auto"/>
        <w:ind w:firstLine="360"/>
        <w:jc w:val="both"/>
      </w:pPr>
      <w:r w:rsidRPr="00392AC9">
        <w:t>Three major instruments were employed:</w:t>
      </w:r>
    </w:p>
    <w:p w:rsidR="0015241A" w:rsidRPr="00392AC9" w:rsidRDefault="0015241A" w:rsidP="00793115">
      <w:pPr>
        <w:pStyle w:val="NormalWeb"/>
        <w:numPr>
          <w:ilvl w:val="0"/>
          <w:numId w:val="3"/>
        </w:numPr>
        <w:spacing w:before="0" w:beforeAutospacing="0" w:after="0" w:afterAutospacing="0" w:line="480" w:lineRule="auto"/>
        <w:jc w:val="both"/>
      </w:pPr>
      <w:r w:rsidRPr="00392AC9">
        <w:rPr>
          <w:rStyle w:val="Strong"/>
          <w:b w:val="0"/>
        </w:rPr>
        <w:t>Survey Questionnaire</w:t>
      </w:r>
      <w:r w:rsidRPr="00392AC9">
        <w:t>:</w:t>
      </w:r>
    </w:p>
    <w:p w:rsidR="0015241A" w:rsidRPr="00392AC9" w:rsidRDefault="0015241A" w:rsidP="00793115">
      <w:pPr>
        <w:pStyle w:val="NormalWeb"/>
        <w:numPr>
          <w:ilvl w:val="1"/>
          <w:numId w:val="3"/>
        </w:numPr>
        <w:spacing w:before="0" w:beforeAutospacing="0" w:after="0" w:afterAutospacing="0" w:line="480" w:lineRule="auto"/>
        <w:jc w:val="both"/>
      </w:pPr>
      <w:r w:rsidRPr="00392AC9">
        <w:rPr>
          <w:rStyle w:val="Emphasis"/>
        </w:rPr>
        <w:t>ICT Integration Index</w:t>
      </w:r>
      <w:r w:rsidRPr="00392AC9">
        <w:t xml:space="preserve">: A composite scale measuring (a) access to devices (student-device ratio), (b) frequency of ICT use in class, (c) teacher ICT competence (student </w:t>
      </w:r>
      <w:r w:rsidRPr="00392AC9">
        <w:lastRenderedPageBreak/>
        <w:t xml:space="preserve">reports using an adapted instrument from </w:t>
      </w:r>
      <w:proofErr w:type="spellStart"/>
      <w:r w:rsidRPr="00392AC9">
        <w:t>Ghavifekr</w:t>
      </w:r>
      <w:proofErr w:type="spellEnd"/>
      <w:r w:rsidRPr="00392AC9">
        <w:t>, 2015), and (d) presence of ICT-enabled civic tasks such as assignments requiring online community research.</w:t>
      </w:r>
    </w:p>
    <w:p w:rsidR="0015241A" w:rsidRPr="00392AC9" w:rsidRDefault="0015241A" w:rsidP="00793115">
      <w:pPr>
        <w:pStyle w:val="NormalWeb"/>
        <w:numPr>
          <w:ilvl w:val="1"/>
          <w:numId w:val="3"/>
        </w:numPr>
        <w:spacing w:before="0" w:beforeAutospacing="0" w:after="0" w:afterAutospacing="0" w:line="480" w:lineRule="auto"/>
        <w:jc w:val="both"/>
      </w:pPr>
      <w:r w:rsidRPr="00392AC9">
        <w:rPr>
          <w:rStyle w:val="Emphasis"/>
        </w:rPr>
        <w:t>Civic Knowledge Test</w:t>
      </w:r>
      <w:r w:rsidRPr="00392AC9">
        <w:t>: A 20-item multiple-choice test assessing knowledge of civic institutions, rights, responsibilities, and processes. Scores were standardized on a 0–100 scale.</w:t>
      </w:r>
    </w:p>
    <w:p w:rsidR="0015241A" w:rsidRPr="00392AC9" w:rsidRDefault="0015241A" w:rsidP="00793115">
      <w:pPr>
        <w:pStyle w:val="NormalWeb"/>
        <w:numPr>
          <w:ilvl w:val="1"/>
          <w:numId w:val="3"/>
        </w:numPr>
        <w:spacing w:before="0" w:beforeAutospacing="0" w:after="0" w:afterAutospacing="0" w:line="480" w:lineRule="auto"/>
        <w:jc w:val="both"/>
      </w:pPr>
      <w:r w:rsidRPr="00392AC9">
        <w:rPr>
          <w:rStyle w:val="Emphasis"/>
        </w:rPr>
        <w:t>Civic Participation Intentions and Actions</w:t>
      </w:r>
      <w:r w:rsidRPr="00392AC9">
        <w:t>: A 10-item Likert scale measuring students’ intentions to vote, volunteer, sign petitions, or use social media for civic discourse. Additionally, a self-report inventory captured actual civic actions undertaken in the past 12 months.</w:t>
      </w:r>
    </w:p>
    <w:p w:rsidR="0015241A" w:rsidRPr="00392AC9" w:rsidRDefault="0015241A" w:rsidP="00793115">
      <w:pPr>
        <w:pStyle w:val="NormalWeb"/>
        <w:numPr>
          <w:ilvl w:val="0"/>
          <w:numId w:val="3"/>
        </w:numPr>
        <w:spacing w:before="0" w:beforeAutospacing="0" w:after="0" w:afterAutospacing="0" w:line="480" w:lineRule="auto"/>
        <w:jc w:val="both"/>
      </w:pPr>
      <w:r w:rsidRPr="00392AC9">
        <w:rPr>
          <w:rStyle w:val="Strong"/>
          <w:b w:val="0"/>
        </w:rPr>
        <w:t>Focus Group Discussion (FGD) Guide</w:t>
      </w:r>
      <w:r w:rsidRPr="00392AC9">
        <w:rPr>
          <w:b/>
        </w:rPr>
        <w:t xml:space="preserve">: </w:t>
      </w:r>
      <w:r w:rsidRPr="00392AC9">
        <w:t>A semi-structured guide with open-ended questions exploring how students’ classroom ICT experiences shaped their civic thinking and participation, perceived barriers to civic engagement, and examples of digital activism or community involvement.</w:t>
      </w:r>
    </w:p>
    <w:p w:rsidR="00C170D9" w:rsidRPr="00392AC9" w:rsidRDefault="0015241A" w:rsidP="00793115">
      <w:pPr>
        <w:pStyle w:val="NormalWeb"/>
        <w:numPr>
          <w:ilvl w:val="0"/>
          <w:numId w:val="3"/>
        </w:numPr>
        <w:spacing w:before="0" w:beforeAutospacing="0" w:after="0" w:afterAutospacing="0" w:line="480" w:lineRule="auto"/>
        <w:jc w:val="both"/>
      </w:pPr>
      <w:r w:rsidRPr="00392AC9">
        <w:rPr>
          <w:rStyle w:val="Strong"/>
          <w:b w:val="0"/>
        </w:rPr>
        <w:t>Demographic Inventory</w:t>
      </w:r>
      <w:r w:rsidRPr="00392AC9">
        <w:rPr>
          <w:b/>
        </w:rPr>
        <w:t>:</w:t>
      </w:r>
      <w:r w:rsidRPr="00392AC9">
        <w:t xml:space="preserve"> Collected information on control variables such as age, gender, socio-economic status (</w:t>
      </w:r>
      <w:proofErr w:type="spellStart"/>
      <w:r w:rsidRPr="00392AC9">
        <w:t>proxied</w:t>
      </w:r>
      <w:proofErr w:type="spellEnd"/>
      <w:r w:rsidRPr="00392AC9">
        <w:t xml:space="preserve"> by parental education and household assets), prior digital exposure (measured in weekly internet use hours), and urban/rural background.</w:t>
      </w:r>
    </w:p>
    <w:p w:rsidR="0015241A" w:rsidRPr="00392AC9" w:rsidRDefault="0015241A" w:rsidP="00793115">
      <w:pPr>
        <w:pStyle w:val="NormalWeb"/>
        <w:spacing w:before="0" w:beforeAutospacing="0" w:after="0" w:afterAutospacing="0" w:line="480" w:lineRule="auto"/>
        <w:jc w:val="both"/>
        <w:rPr>
          <w:b/>
        </w:rPr>
      </w:pPr>
      <w:r w:rsidRPr="00392AC9">
        <w:rPr>
          <w:b/>
        </w:rPr>
        <w:t>Validation of the Instrument</w:t>
      </w:r>
    </w:p>
    <w:p w:rsidR="00C170D9" w:rsidRPr="00392AC9" w:rsidRDefault="0015241A" w:rsidP="00134260">
      <w:pPr>
        <w:pStyle w:val="NormalWeb"/>
        <w:spacing w:before="0" w:beforeAutospacing="0" w:after="0" w:afterAutospacing="0" w:line="480" w:lineRule="auto"/>
        <w:ind w:firstLine="720"/>
        <w:jc w:val="both"/>
      </w:pPr>
      <w:r w:rsidRPr="00392AC9">
        <w:t xml:space="preserve">To ensure validity and reliability, the instruments were subjected to a multi-stage validation process. Content validity was established by presenting the draft instruments to </w:t>
      </w:r>
      <w:r w:rsidRPr="00392AC9">
        <w:rPr>
          <w:rStyle w:val="Strong"/>
          <w:b w:val="0"/>
        </w:rPr>
        <w:t>three experts in educational technology and civic education</w:t>
      </w:r>
      <w:r w:rsidRPr="00392AC9">
        <w:t xml:space="preserve"> for review. Their feedback was incorporated to refine the instruments for clarity, relevance, and alignment with study objectives. Construct validity of the ICT Integration Index was tested using </w:t>
      </w:r>
      <w:r w:rsidRPr="00392AC9">
        <w:rPr>
          <w:rStyle w:val="Strong"/>
          <w:b w:val="0"/>
        </w:rPr>
        <w:t>Principal Component Analysis (PCA)</w:t>
      </w:r>
      <w:r w:rsidRPr="00392AC9">
        <w:t xml:space="preserve">, which confirmed a single dominant factor structure. The internal consistency of scales was assessed through a </w:t>
      </w:r>
      <w:r w:rsidRPr="00392AC9">
        <w:rPr>
          <w:rStyle w:val="Strong"/>
          <w:b w:val="0"/>
        </w:rPr>
        <w:t xml:space="preserve">pilot </w:t>
      </w:r>
      <w:r w:rsidRPr="00392AC9">
        <w:rPr>
          <w:rStyle w:val="Strong"/>
          <w:b w:val="0"/>
        </w:rPr>
        <w:lastRenderedPageBreak/>
        <w:t>study with 50 students</w:t>
      </w:r>
      <w:r w:rsidRPr="00392AC9">
        <w:t xml:space="preserve"> outside the main study area, yielding a Cronbach’s alpha coefficient of </w:t>
      </w:r>
      <w:r w:rsidRPr="00392AC9">
        <w:rPr>
          <w:rStyle w:val="Strong"/>
          <w:b w:val="0"/>
        </w:rPr>
        <w:t>0.82</w:t>
      </w:r>
      <w:r w:rsidRPr="00392AC9">
        <w:rPr>
          <w:b/>
        </w:rPr>
        <w:t xml:space="preserve"> </w:t>
      </w:r>
      <w:r w:rsidRPr="00392AC9">
        <w:t xml:space="preserve">for the ICT Integration Index and </w:t>
      </w:r>
      <w:r w:rsidRPr="00392AC9">
        <w:rPr>
          <w:rStyle w:val="Strong"/>
          <w:b w:val="0"/>
        </w:rPr>
        <w:t>0.79</w:t>
      </w:r>
      <w:r w:rsidRPr="00392AC9">
        <w:t xml:space="preserve"> for the civic participation scale, indicating high reliability.</w:t>
      </w:r>
    </w:p>
    <w:p w:rsidR="0015241A" w:rsidRPr="00392AC9" w:rsidRDefault="0015241A" w:rsidP="00793115">
      <w:pPr>
        <w:pStyle w:val="NormalWeb"/>
        <w:spacing w:before="0" w:beforeAutospacing="0" w:after="0" w:afterAutospacing="0" w:line="480" w:lineRule="auto"/>
        <w:jc w:val="both"/>
        <w:rPr>
          <w:b/>
        </w:rPr>
      </w:pPr>
      <w:r w:rsidRPr="00392AC9">
        <w:rPr>
          <w:b/>
        </w:rPr>
        <w:t>Method of Data Collection</w:t>
      </w:r>
    </w:p>
    <w:p w:rsidR="00C170D9" w:rsidRPr="00392AC9" w:rsidRDefault="0015241A" w:rsidP="00134260">
      <w:pPr>
        <w:pStyle w:val="NormalWeb"/>
        <w:spacing w:before="0" w:beforeAutospacing="0" w:after="0" w:afterAutospacing="0" w:line="480" w:lineRule="auto"/>
        <w:ind w:firstLine="720"/>
        <w:jc w:val="both"/>
      </w:pPr>
      <w:r w:rsidRPr="00392AC9">
        <w:t xml:space="preserve">Data were collected between </w:t>
      </w:r>
      <w:r w:rsidRPr="00392AC9">
        <w:rPr>
          <w:rStyle w:val="Strong"/>
          <w:b w:val="0"/>
        </w:rPr>
        <w:t>January and March 2025</w:t>
      </w:r>
      <w:r w:rsidRPr="00392AC9">
        <w:t xml:space="preserve">. For the quantitative phase, trained enumerators administered the surveys </w:t>
      </w:r>
      <w:r w:rsidRPr="00392AC9">
        <w:rPr>
          <w:rStyle w:val="Strong"/>
          <w:b w:val="0"/>
        </w:rPr>
        <w:t>in-person</w:t>
      </w:r>
      <w:r w:rsidRPr="00392AC9">
        <w:t xml:space="preserve"> to ensure high response rates and assist participants in clarifying items where necessary. The FGDs were facilitated by the researchers with assistance from trained note-takers. Discussions were conducted in English (with occasional translation into local languages where necessary), </w:t>
      </w:r>
      <w:r w:rsidRPr="00392AC9">
        <w:rPr>
          <w:rStyle w:val="Strong"/>
          <w:b w:val="0"/>
        </w:rPr>
        <w:t>audio-recorded with participants’ consent</w:t>
      </w:r>
      <w:r w:rsidRPr="00392AC9">
        <w:t xml:space="preserve">, and later </w:t>
      </w:r>
      <w:r w:rsidRPr="00392AC9">
        <w:rPr>
          <w:rStyle w:val="Strong"/>
          <w:b w:val="0"/>
        </w:rPr>
        <w:t>transcribed verbatim</w:t>
      </w:r>
      <w:r w:rsidRPr="00392AC9">
        <w:t>. Field notes captured non-verbal cues and contextual observations to enrich the analysis.</w:t>
      </w:r>
    </w:p>
    <w:p w:rsidR="0015241A" w:rsidRPr="00392AC9" w:rsidRDefault="0015241A" w:rsidP="00793115">
      <w:pPr>
        <w:pStyle w:val="NormalWeb"/>
        <w:spacing w:before="0" w:beforeAutospacing="0" w:after="0" w:afterAutospacing="0" w:line="480" w:lineRule="auto"/>
        <w:jc w:val="both"/>
        <w:rPr>
          <w:b/>
        </w:rPr>
      </w:pPr>
      <w:r w:rsidRPr="00392AC9">
        <w:rPr>
          <w:b/>
        </w:rPr>
        <w:t>Method of Data Analysis</w:t>
      </w:r>
    </w:p>
    <w:p w:rsidR="0015241A" w:rsidRPr="00392AC9" w:rsidRDefault="0015241A" w:rsidP="00134260">
      <w:pPr>
        <w:pStyle w:val="NormalWeb"/>
        <w:spacing w:before="0" w:beforeAutospacing="0" w:after="0" w:afterAutospacing="0" w:line="480" w:lineRule="auto"/>
        <w:ind w:firstLine="720"/>
        <w:jc w:val="both"/>
      </w:pPr>
      <w:r w:rsidRPr="00392AC9">
        <w:t xml:space="preserve">Quantitative data were analyzed using </w:t>
      </w:r>
      <w:r w:rsidRPr="00392AC9">
        <w:rPr>
          <w:rStyle w:val="Strong"/>
          <w:b w:val="0"/>
        </w:rPr>
        <w:t>SPSS (Version 27)</w:t>
      </w:r>
      <w:r w:rsidRPr="00392AC9">
        <w:t>. Analysis began with descriptive statistics (means, frequencies, standard deviations) to summarize demographic and key study variables. Bivariate correlation analysis examined relationships between ICT integration, civic knowledge, and civic participation. Multiple linear regression was used to test the predictive influence of ICT integration on civic outcomes, while controlling for demographic variables. Additionally, moderation analysis was conducted to test whether contextual factors such as socio-economic status or urban-rural background moderated the relationship between ICT integration and civic engagement outcomes.</w:t>
      </w:r>
    </w:p>
    <w:p w:rsidR="006D1755" w:rsidRPr="00134260" w:rsidRDefault="0015241A" w:rsidP="00134260">
      <w:pPr>
        <w:pStyle w:val="NormalWeb"/>
        <w:spacing w:before="0" w:beforeAutospacing="0" w:after="0" w:afterAutospacing="0" w:line="480" w:lineRule="auto"/>
        <w:ind w:firstLine="720"/>
        <w:jc w:val="both"/>
      </w:pPr>
      <w:r w:rsidRPr="00392AC9">
        <w:t xml:space="preserve">Qualitative data from FGDs were analyzed thematically using a </w:t>
      </w:r>
      <w:r w:rsidRPr="00392AC9">
        <w:rPr>
          <w:rStyle w:val="Strong"/>
          <w:b w:val="0"/>
        </w:rPr>
        <w:t xml:space="preserve">manual </w:t>
      </w:r>
      <w:proofErr w:type="spellStart"/>
      <w:r w:rsidRPr="00392AC9">
        <w:rPr>
          <w:rStyle w:val="Strong"/>
          <w:b w:val="0"/>
        </w:rPr>
        <w:t>NVivo</w:t>
      </w:r>
      <w:proofErr w:type="spellEnd"/>
      <w:r w:rsidRPr="00392AC9">
        <w:rPr>
          <w:rStyle w:val="Strong"/>
          <w:b w:val="0"/>
        </w:rPr>
        <w:t>-style coding process</w:t>
      </w:r>
      <w:r w:rsidRPr="00392AC9">
        <w:t>. Transcripts were coded inductively to identify emerging patterns, mechanisms, and contextual enablers or barriers. The findings were triangulated with quantitative results to provide a comprehensive interpretation.</w:t>
      </w:r>
    </w:p>
    <w:p w:rsidR="00C170D9"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lastRenderedPageBreak/>
        <w:t>Results</w:t>
      </w:r>
    </w:p>
    <w:p w:rsidR="0015241A"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Sample Profile</w:t>
      </w:r>
    </w:p>
    <w:p w:rsidR="0015241A" w:rsidRPr="00392AC9" w:rsidRDefault="0015241A" w:rsidP="00134260">
      <w:pPr>
        <w:pStyle w:val="NormalWeb"/>
        <w:spacing w:before="0" w:beforeAutospacing="0" w:after="0" w:afterAutospacing="0" w:line="480" w:lineRule="auto"/>
        <w:ind w:firstLine="720"/>
        <w:jc w:val="both"/>
      </w:pPr>
      <w:r w:rsidRPr="00392AC9">
        <w:t xml:space="preserve">A total of </w:t>
      </w:r>
      <w:r w:rsidRPr="00392AC9">
        <w:rPr>
          <w:rStyle w:val="Strong"/>
          <w:b w:val="0"/>
        </w:rPr>
        <w:t>720 final-year students</w:t>
      </w:r>
      <w:r w:rsidRPr="00392AC9">
        <w:t xml:space="preserve"> from technology education </w:t>
      </w:r>
      <w:proofErr w:type="spellStart"/>
      <w:r w:rsidRPr="00392AC9">
        <w:t>programmes</w:t>
      </w:r>
      <w:proofErr w:type="spellEnd"/>
      <w:r w:rsidRPr="00392AC9">
        <w:t xml:space="preserve"> across six Nigerian states participated in the survey, alongside 96 participants in focus group discussions (FGDs). The mean age of the survey respondents was </w:t>
      </w:r>
      <w:r w:rsidRPr="00392AC9">
        <w:rPr>
          <w:rStyle w:val="Strong"/>
          <w:b w:val="0"/>
        </w:rPr>
        <w:t>23.4 years</w:t>
      </w:r>
      <w:r w:rsidRPr="00392AC9">
        <w:t xml:space="preserve"> (SD = 2.1), indicating a relatively homogenous age group consistent with final-year tertiary students. In terms of gender distribution, </w:t>
      </w:r>
      <w:r w:rsidRPr="00392AC9">
        <w:rPr>
          <w:rStyle w:val="Strong"/>
          <w:b w:val="0"/>
        </w:rPr>
        <w:t>52% identified as male</w:t>
      </w:r>
      <w:r w:rsidRPr="00392AC9">
        <w:rPr>
          <w:b/>
        </w:rPr>
        <w:t xml:space="preserve"> </w:t>
      </w:r>
      <w:r w:rsidRPr="00392AC9">
        <w:t xml:space="preserve">while </w:t>
      </w:r>
      <w:r w:rsidRPr="00392AC9">
        <w:rPr>
          <w:rStyle w:val="Strong"/>
          <w:b w:val="0"/>
        </w:rPr>
        <w:t>48% identified as female</w:t>
      </w:r>
      <w:r w:rsidRPr="00392AC9">
        <w:t xml:space="preserve">, suggesting a fairly balanced representation of sexes. Urban-origin students constituted </w:t>
      </w:r>
      <w:r w:rsidRPr="00392AC9">
        <w:rPr>
          <w:rStyle w:val="Strong"/>
          <w:b w:val="0"/>
        </w:rPr>
        <w:t>57% of the sample</w:t>
      </w:r>
      <w:r w:rsidRPr="00392AC9">
        <w:t xml:space="preserve">, while </w:t>
      </w:r>
      <w:r w:rsidRPr="00392AC9">
        <w:rPr>
          <w:rStyle w:val="Strong"/>
          <w:b w:val="0"/>
        </w:rPr>
        <w:t>43% came from rural backgrounds</w:t>
      </w:r>
      <w:r w:rsidRPr="00392AC9">
        <w:t xml:space="preserve">, reflecting the mixed educational settings across institutions. The average weekly internet use outside of classroom contexts was </w:t>
      </w:r>
      <w:r w:rsidRPr="00392AC9">
        <w:rPr>
          <w:rStyle w:val="Strong"/>
          <w:b w:val="0"/>
        </w:rPr>
        <w:t>9.7 hours</w:t>
      </w:r>
      <w:r w:rsidRPr="00392AC9">
        <w:t xml:space="preserve"> (SD = 6.4), highlighting substantial digital exposure among participants.</w:t>
      </w:r>
    </w:p>
    <w:p w:rsidR="0015241A"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Descriptive Findings on ICT Integration</w:t>
      </w:r>
    </w:p>
    <w:p w:rsidR="003C4006" w:rsidRPr="006D1755" w:rsidRDefault="0015241A" w:rsidP="00134260">
      <w:pPr>
        <w:pStyle w:val="NormalWeb"/>
        <w:spacing w:before="0" w:beforeAutospacing="0" w:after="0" w:afterAutospacing="0" w:line="480" w:lineRule="auto"/>
        <w:ind w:firstLine="720"/>
        <w:jc w:val="both"/>
        <w:rPr>
          <w:rStyle w:val="Strong"/>
          <w:b w:val="0"/>
          <w:bCs w:val="0"/>
        </w:rPr>
      </w:pPr>
      <w:r w:rsidRPr="00392AC9">
        <w:t xml:space="preserve">Analysis of ICT integration within technology education classrooms revealed noticeable variation across institutions. The standardized </w:t>
      </w:r>
      <w:r w:rsidRPr="00392AC9">
        <w:rPr>
          <w:rStyle w:val="Strong"/>
          <w:b w:val="0"/>
        </w:rPr>
        <w:t>ICT Integration Index</w:t>
      </w:r>
      <w:r w:rsidRPr="00392AC9">
        <w:t xml:space="preserve"> had a mean of </w:t>
      </w:r>
      <w:r w:rsidRPr="00392AC9">
        <w:rPr>
          <w:rStyle w:val="Strong"/>
          <w:b w:val="0"/>
        </w:rPr>
        <w:t>0.12</w:t>
      </w:r>
      <w:r w:rsidRPr="00392AC9">
        <w:t xml:space="preserve"> (SD = 0.98). Students in </w:t>
      </w:r>
      <w:r w:rsidRPr="00392AC9">
        <w:rPr>
          <w:rStyle w:val="Strong"/>
          <w:b w:val="0"/>
        </w:rPr>
        <w:t>Lagos and Enugu</w:t>
      </w:r>
      <w:r w:rsidRPr="00392AC9">
        <w:t xml:space="preserve"> institutions reported relatively higher integration scores, while students from </w:t>
      </w:r>
      <w:r w:rsidRPr="00392AC9">
        <w:rPr>
          <w:rStyle w:val="Strong"/>
          <w:b w:val="0"/>
        </w:rPr>
        <w:t>Kano and parts of Rivers State</w:t>
      </w:r>
      <w:r w:rsidRPr="00392AC9">
        <w:t xml:space="preserve"> indicated lower levels of ICT integration. Overall, </w:t>
      </w:r>
      <w:r w:rsidRPr="00392AC9">
        <w:rPr>
          <w:rStyle w:val="Strong"/>
          <w:b w:val="0"/>
        </w:rPr>
        <w:t>61% of students</w:t>
      </w:r>
      <w:r w:rsidRPr="00392AC9">
        <w:t xml:space="preserve"> reported receiving regular (weekly) ICT-enabled assignments. However, only </w:t>
      </w:r>
      <w:r w:rsidRPr="00392AC9">
        <w:rPr>
          <w:rStyle w:val="Strong"/>
          <w:b w:val="0"/>
        </w:rPr>
        <w:t>39% of students</w:t>
      </w:r>
      <w:r w:rsidRPr="00392AC9">
        <w:t xml:space="preserve"> noted that teachers incorporated civic issues into ICT tasks, suggesting a gap in aligning ICT use with civic education objectives.</w:t>
      </w:r>
    </w:p>
    <w:p w:rsidR="0015241A" w:rsidRPr="00392AC9" w:rsidRDefault="0015241A" w:rsidP="00793115">
      <w:pPr>
        <w:pStyle w:val="NormalWeb"/>
        <w:spacing w:before="0" w:beforeAutospacing="0" w:after="0" w:afterAutospacing="0" w:line="480" w:lineRule="auto"/>
        <w:jc w:val="both"/>
      </w:pPr>
      <w:r w:rsidRPr="00392AC9">
        <w:rPr>
          <w:rStyle w:val="Strong"/>
        </w:rPr>
        <w:t>Table 1: Descriptive Statistics of ICT Integration</w:t>
      </w:r>
    </w:p>
    <w:tbl>
      <w:tblPr>
        <w:tblStyle w:val="TableGrid"/>
        <w:tblW w:w="0" w:type="auto"/>
        <w:tblLook w:val="04A0" w:firstRow="1" w:lastRow="0" w:firstColumn="1" w:lastColumn="0" w:noHBand="0" w:noVBand="1"/>
      </w:tblPr>
      <w:tblGrid>
        <w:gridCol w:w="4776"/>
        <w:gridCol w:w="2582"/>
        <w:gridCol w:w="636"/>
      </w:tblGrid>
      <w:tr w:rsidR="0015241A" w:rsidRPr="00392AC9" w:rsidTr="00875100">
        <w:tc>
          <w:tcPr>
            <w:tcW w:w="0" w:type="auto"/>
            <w:hideMark/>
          </w:tcPr>
          <w:p w:rsidR="0015241A" w:rsidRPr="00392AC9" w:rsidRDefault="0015241A" w:rsidP="009D4971">
            <w:pPr>
              <w:jc w:val="both"/>
              <w:rPr>
                <w:rFonts w:ascii="Times New Roman" w:hAnsi="Times New Roman" w:cs="Times New Roman"/>
                <w:b/>
                <w:bCs/>
                <w:sz w:val="24"/>
                <w:szCs w:val="24"/>
              </w:rPr>
            </w:pPr>
            <w:bookmarkStart w:id="0" w:name="_GoBack"/>
            <w:r w:rsidRPr="00392AC9">
              <w:rPr>
                <w:rFonts w:ascii="Times New Roman" w:hAnsi="Times New Roman" w:cs="Times New Roman"/>
                <w:b/>
                <w:bCs/>
                <w:sz w:val="24"/>
                <w:szCs w:val="24"/>
              </w:rPr>
              <w:t>Indicator</w:t>
            </w:r>
          </w:p>
        </w:tc>
        <w:tc>
          <w:tcPr>
            <w:tcW w:w="0" w:type="auto"/>
            <w:hideMark/>
          </w:tcPr>
          <w:p w:rsidR="0015241A" w:rsidRPr="00392AC9" w:rsidRDefault="0015241A" w:rsidP="009D4971">
            <w:pPr>
              <w:jc w:val="both"/>
              <w:rPr>
                <w:rFonts w:ascii="Times New Roman" w:hAnsi="Times New Roman" w:cs="Times New Roman"/>
                <w:b/>
                <w:bCs/>
                <w:sz w:val="24"/>
                <w:szCs w:val="24"/>
              </w:rPr>
            </w:pPr>
            <w:r w:rsidRPr="00392AC9">
              <w:rPr>
                <w:rFonts w:ascii="Times New Roman" w:hAnsi="Times New Roman" w:cs="Times New Roman"/>
                <w:b/>
                <w:bCs/>
                <w:sz w:val="24"/>
                <w:szCs w:val="24"/>
              </w:rPr>
              <w:t>Percentage (%) / Mean</w:t>
            </w:r>
          </w:p>
        </w:tc>
        <w:tc>
          <w:tcPr>
            <w:tcW w:w="0" w:type="auto"/>
            <w:hideMark/>
          </w:tcPr>
          <w:p w:rsidR="0015241A" w:rsidRPr="00392AC9" w:rsidRDefault="0015241A" w:rsidP="009D4971">
            <w:pPr>
              <w:jc w:val="both"/>
              <w:rPr>
                <w:rFonts w:ascii="Times New Roman" w:hAnsi="Times New Roman" w:cs="Times New Roman"/>
                <w:b/>
                <w:bCs/>
                <w:sz w:val="24"/>
                <w:szCs w:val="24"/>
              </w:rPr>
            </w:pPr>
            <w:r w:rsidRPr="00392AC9">
              <w:rPr>
                <w:rFonts w:ascii="Times New Roman" w:hAnsi="Times New Roman" w:cs="Times New Roman"/>
                <w:b/>
                <w:bCs/>
                <w:sz w:val="24"/>
                <w:szCs w:val="24"/>
              </w:rPr>
              <w:t>SD</w:t>
            </w:r>
          </w:p>
        </w:tc>
      </w:tr>
      <w:tr w:rsidR="0015241A" w:rsidRPr="00392AC9" w:rsidTr="00875100">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ICT Integration Index (standardized)</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0.12</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0.98</w:t>
            </w:r>
          </w:p>
        </w:tc>
      </w:tr>
      <w:tr w:rsidR="0015241A" w:rsidRPr="00392AC9" w:rsidTr="00875100">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Students with regular ICT-enabled assignments</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61%</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w:t>
            </w:r>
          </w:p>
        </w:tc>
      </w:tr>
      <w:tr w:rsidR="0015241A" w:rsidRPr="00392AC9" w:rsidTr="00875100">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Teachers incorporating civic issues in ICT use</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39%</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w:t>
            </w:r>
          </w:p>
        </w:tc>
      </w:tr>
      <w:tr w:rsidR="0015241A" w:rsidRPr="00392AC9" w:rsidTr="00875100">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Weekly internet use outside class (hours)</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9.7</w:t>
            </w:r>
          </w:p>
        </w:tc>
        <w:tc>
          <w:tcPr>
            <w:tcW w:w="0" w:type="auto"/>
            <w:hideMark/>
          </w:tcPr>
          <w:p w:rsidR="0015241A" w:rsidRPr="00392AC9" w:rsidRDefault="0015241A" w:rsidP="009D4971">
            <w:pPr>
              <w:jc w:val="both"/>
              <w:rPr>
                <w:rFonts w:ascii="Times New Roman" w:hAnsi="Times New Roman" w:cs="Times New Roman"/>
                <w:sz w:val="24"/>
                <w:szCs w:val="24"/>
              </w:rPr>
            </w:pPr>
            <w:r w:rsidRPr="00392AC9">
              <w:rPr>
                <w:rFonts w:ascii="Times New Roman" w:hAnsi="Times New Roman" w:cs="Times New Roman"/>
                <w:sz w:val="24"/>
                <w:szCs w:val="24"/>
              </w:rPr>
              <w:t>6.4</w:t>
            </w:r>
          </w:p>
        </w:tc>
      </w:tr>
    </w:tbl>
    <w:bookmarkEnd w:id="0"/>
    <w:p w:rsidR="001674C6" w:rsidRDefault="00134260" w:rsidP="001674C6">
      <w:pPr>
        <w:keepNext/>
        <w:spacing w:after="0" w:line="480" w:lineRule="auto"/>
        <w:jc w:val="both"/>
      </w:pPr>
      <w:r>
        <w:rPr>
          <w:rFonts w:ascii="Times New Roman" w:hAnsi="Times New Roman" w:cs="Times New Roman"/>
          <w:sz w:val="24"/>
          <w:szCs w:val="24"/>
        </w:rPr>
        <w:lastRenderedPageBreak/>
        <w:t xml:space="preserve"> </w:t>
      </w:r>
      <w:r w:rsidR="003C4006">
        <w:rPr>
          <w:rFonts w:ascii="Times New Roman" w:hAnsi="Times New Roman" w:cs="Times New Roman"/>
          <w:sz w:val="24"/>
          <w:szCs w:val="24"/>
        </w:rPr>
        <w:t xml:space="preserve"> </w:t>
      </w:r>
      <w:r w:rsidR="001674C6">
        <w:rPr>
          <w:noProof/>
        </w:rPr>
        <w:drawing>
          <wp:inline distT="0" distB="0" distL="0" distR="0" wp14:anchorId="0BBFF0AC" wp14:editId="5D80B75F">
            <wp:extent cx="5486400" cy="37102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1_civic_knowledge.png"/>
                    <pic:cNvPicPr/>
                  </pic:nvPicPr>
                  <pic:blipFill>
                    <a:blip r:embed="rId7"/>
                    <a:stretch>
                      <a:fillRect/>
                    </a:stretch>
                  </pic:blipFill>
                  <pic:spPr>
                    <a:xfrm>
                      <a:off x="0" y="0"/>
                      <a:ext cx="5486400" cy="3710227"/>
                    </a:xfrm>
                    <a:prstGeom prst="rect">
                      <a:avLst/>
                    </a:prstGeom>
                  </pic:spPr>
                </pic:pic>
              </a:graphicData>
            </a:graphic>
          </wp:inline>
        </w:drawing>
      </w:r>
    </w:p>
    <w:p w:rsidR="00875100" w:rsidRPr="00134260" w:rsidRDefault="001674C6" w:rsidP="001674C6">
      <w:pPr>
        <w:pStyle w:val="Caption"/>
        <w:jc w:val="both"/>
        <w:rPr>
          <w:rFonts w:ascii="Times New Roman" w:hAnsi="Times New Roman" w:cs="Times New Roman"/>
          <w:color w:val="auto"/>
          <w:sz w:val="24"/>
          <w:szCs w:val="24"/>
        </w:rPr>
      </w:pPr>
      <w:r w:rsidRPr="00134260">
        <w:rPr>
          <w:rFonts w:ascii="Times New Roman" w:hAnsi="Times New Roman" w:cs="Times New Roman"/>
          <w:color w:val="auto"/>
          <w:sz w:val="24"/>
          <w:szCs w:val="24"/>
        </w:rPr>
        <w:t xml:space="preserve">Figure </w:t>
      </w:r>
      <w:r w:rsidR="00AC1DCE" w:rsidRPr="00134260">
        <w:rPr>
          <w:rFonts w:ascii="Times New Roman" w:hAnsi="Times New Roman" w:cs="Times New Roman"/>
          <w:color w:val="auto"/>
          <w:sz w:val="24"/>
          <w:szCs w:val="24"/>
        </w:rPr>
        <w:fldChar w:fldCharType="begin"/>
      </w:r>
      <w:r w:rsidR="00AC1DCE" w:rsidRPr="00134260">
        <w:rPr>
          <w:rFonts w:ascii="Times New Roman" w:hAnsi="Times New Roman" w:cs="Times New Roman"/>
          <w:color w:val="auto"/>
          <w:sz w:val="24"/>
          <w:szCs w:val="24"/>
        </w:rPr>
        <w:instrText xml:space="preserve"> SEQ Figure \* ARABIC </w:instrText>
      </w:r>
      <w:r w:rsidR="00AC1DCE" w:rsidRPr="00134260">
        <w:rPr>
          <w:rFonts w:ascii="Times New Roman" w:hAnsi="Times New Roman" w:cs="Times New Roman"/>
          <w:color w:val="auto"/>
          <w:sz w:val="24"/>
          <w:szCs w:val="24"/>
        </w:rPr>
        <w:fldChar w:fldCharType="separate"/>
      </w:r>
      <w:r w:rsidR="002823D2" w:rsidRPr="00134260">
        <w:rPr>
          <w:rFonts w:ascii="Times New Roman" w:hAnsi="Times New Roman" w:cs="Times New Roman"/>
          <w:noProof/>
          <w:color w:val="auto"/>
          <w:sz w:val="24"/>
          <w:szCs w:val="24"/>
        </w:rPr>
        <w:t>1</w:t>
      </w:r>
      <w:r w:rsidR="00AC1DCE" w:rsidRPr="00134260">
        <w:rPr>
          <w:rFonts w:ascii="Times New Roman" w:hAnsi="Times New Roman" w:cs="Times New Roman"/>
          <w:noProof/>
          <w:color w:val="auto"/>
          <w:sz w:val="24"/>
          <w:szCs w:val="24"/>
        </w:rPr>
        <w:fldChar w:fldCharType="end"/>
      </w:r>
      <w:r w:rsidRPr="00134260">
        <w:rPr>
          <w:rFonts w:ascii="Times New Roman" w:hAnsi="Times New Roman" w:cs="Times New Roman"/>
          <w:color w:val="auto"/>
          <w:sz w:val="24"/>
          <w:szCs w:val="24"/>
        </w:rPr>
        <w:t>: ICT Integration and Civic Knowledge Levels</w:t>
      </w:r>
    </w:p>
    <w:p w:rsidR="0015241A"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Civic Knowledge and Participation Measures</w:t>
      </w:r>
    </w:p>
    <w:p w:rsidR="0015241A" w:rsidRPr="00392AC9" w:rsidRDefault="0015241A" w:rsidP="00134260">
      <w:pPr>
        <w:pStyle w:val="NormalWeb"/>
        <w:spacing w:before="0" w:beforeAutospacing="0" w:after="0" w:afterAutospacing="0" w:line="480" w:lineRule="auto"/>
        <w:ind w:firstLine="720"/>
        <w:jc w:val="both"/>
      </w:pPr>
      <w:r w:rsidRPr="00392AC9">
        <w:t xml:space="preserve">The results indicated that students demonstrated moderate civic knowledge. The mean </w:t>
      </w:r>
      <w:r w:rsidRPr="00392AC9">
        <w:rPr>
          <w:rStyle w:val="Strong"/>
          <w:b w:val="0"/>
        </w:rPr>
        <w:t>Civic Knowledge Score</w:t>
      </w:r>
      <w:r w:rsidRPr="00392AC9">
        <w:t xml:space="preserve"> was </w:t>
      </w:r>
      <w:r w:rsidRPr="00392AC9">
        <w:rPr>
          <w:rStyle w:val="Strong"/>
          <w:b w:val="0"/>
        </w:rPr>
        <w:t>58.3</w:t>
      </w:r>
      <w:r w:rsidRPr="00392AC9">
        <w:t xml:space="preserve"> (SD = 14.7) on a standardized scale of 0–100. </w:t>
      </w:r>
      <w:r w:rsidR="00134260">
        <w:t>Regarding</w:t>
      </w:r>
      <w:r w:rsidRPr="00392AC9">
        <w:t xml:space="preserve"> civic actions, </w:t>
      </w:r>
      <w:r w:rsidRPr="00392AC9">
        <w:rPr>
          <w:rStyle w:val="Strong"/>
          <w:b w:val="0"/>
        </w:rPr>
        <w:t>46% of students reported signing or sharing an online petition</w:t>
      </w:r>
      <w:r w:rsidRPr="00392AC9">
        <w:t xml:space="preserve"> in the past year, </w:t>
      </w:r>
      <w:r w:rsidRPr="00392AC9">
        <w:rPr>
          <w:rStyle w:val="Strong"/>
          <w:b w:val="0"/>
        </w:rPr>
        <w:t>29% participated in a community meeting</w:t>
      </w:r>
      <w:r w:rsidRPr="00392AC9">
        <w:t xml:space="preserve">, and </w:t>
      </w:r>
      <w:r w:rsidRPr="00392AC9">
        <w:rPr>
          <w:rStyle w:val="Strong"/>
          <w:b w:val="0"/>
        </w:rPr>
        <w:t>33% reported creating or sharing civic-related content</w:t>
      </w:r>
      <w:r w:rsidRPr="00392AC9">
        <w:t xml:space="preserve"> on social media platforms.</w:t>
      </w:r>
    </w:p>
    <w:p w:rsidR="0015241A" w:rsidRPr="00392AC9" w:rsidRDefault="0015241A" w:rsidP="00793115">
      <w:pPr>
        <w:pStyle w:val="NormalWeb"/>
        <w:spacing w:before="0" w:beforeAutospacing="0" w:after="0" w:afterAutospacing="0" w:line="480" w:lineRule="auto"/>
        <w:jc w:val="both"/>
      </w:pPr>
      <w:r w:rsidRPr="00392AC9">
        <w:rPr>
          <w:rStyle w:val="Strong"/>
        </w:rPr>
        <w:t>Table 2: Civic Knowledge and Participation Indicators</w:t>
      </w:r>
    </w:p>
    <w:tbl>
      <w:tblPr>
        <w:tblStyle w:val="TableGrid"/>
        <w:tblW w:w="0" w:type="auto"/>
        <w:tblLook w:val="04A0" w:firstRow="1" w:lastRow="0" w:firstColumn="1" w:lastColumn="0" w:noHBand="0" w:noVBand="1"/>
      </w:tblPr>
      <w:tblGrid>
        <w:gridCol w:w="4109"/>
        <w:gridCol w:w="1809"/>
        <w:gridCol w:w="1563"/>
        <w:gridCol w:w="636"/>
      </w:tblGrid>
      <w:tr w:rsidR="0015241A" w:rsidRPr="00392AC9" w:rsidTr="001674C6">
        <w:trPr>
          <w:trHeight w:val="395"/>
        </w:trPr>
        <w:tc>
          <w:tcPr>
            <w:tcW w:w="0" w:type="auto"/>
            <w:hideMark/>
          </w:tcPr>
          <w:p w:rsidR="0015241A" w:rsidRPr="00392AC9" w:rsidRDefault="0015241A" w:rsidP="001674C6">
            <w:pPr>
              <w:spacing w:line="360" w:lineRule="auto"/>
              <w:jc w:val="both"/>
              <w:rPr>
                <w:rFonts w:ascii="Times New Roman" w:hAnsi="Times New Roman" w:cs="Times New Roman"/>
                <w:b/>
                <w:bCs/>
                <w:sz w:val="24"/>
                <w:szCs w:val="24"/>
              </w:rPr>
            </w:pPr>
            <w:r w:rsidRPr="00392AC9">
              <w:rPr>
                <w:rFonts w:ascii="Times New Roman" w:hAnsi="Times New Roman" w:cs="Times New Roman"/>
                <w:b/>
                <w:bCs/>
                <w:sz w:val="24"/>
                <w:szCs w:val="24"/>
              </w:rPr>
              <w:t>Civic Engagement Indicator</w:t>
            </w:r>
          </w:p>
        </w:tc>
        <w:tc>
          <w:tcPr>
            <w:tcW w:w="0" w:type="auto"/>
            <w:hideMark/>
          </w:tcPr>
          <w:p w:rsidR="0015241A" w:rsidRPr="00392AC9" w:rsidRDefault="0015241A" w:rsidP="001674C6">
            <w:pPr>
              <w:spacing w:line="360" w:lineRule="auto"/>
              <w:jc w:val="both"/>
              <w:rPr>
                <w:rFonts w:ascii="Times New Roman" w:hAnsi="Times New Roman" w:cs="Times New Roman"/>
                <w:b/>
                <w:bCs/>
                <w:sz w:val="24"/>
                <w:szCs w:val="24"/>
              </w:rPr>
            </w:pPr>
            <w:r w:rsidRPr="00392AC9">
              <w:rPr>
                <w:rFonts w:ascii="Times New Roman" w:hAnsi="Times New Roman" w:cs="Times New Roman"/>
                <w:b/>
                <w:bCs/>
                <w:sz w:val="24"/>
                <w:szCs w:val="24"/>
              </w:rPr>
              <w:t>Percentage (%)</w:t>
            </w:r>
          </w:p>
        </w:tc>
        <w:tc>
          <w:tcPr>
            <w:tcW w:w="0" w:type="auto"/>
            <w:hideMark/>
          </w:tcPr>
          <w:p w:rsidR="0015241A" w:rsidRPr="00392AC9" w:rsidRDefault="0015241A" w:rsidP="001674C6">
            <w:pPr>
              <w:spacing w:line="360" w:lineRule="auto"/>
              <w:jc w:val="both"/>
              <w:rPr>
                <w:rFonts w:ascii="Times New Roman" w:hAnsi="Times New Roman" w:cs="Times New Roman"/>
                <w:b/>
                <w:bCs/>
                <w:sz w:val="24"/>
                <w:szCs w:val="24"/>
              </w:rPr>
            </w:pPr>
            <w:r w:rsidRPr="00392AC9">
              <w:rPr>
                <w:rFonts w:ascii="Times New Roman" w:hAnsi="Times New Roman" w:cs="Times New Roman"/>
                <w:b/>
                <w:bCs/>
                <w:sz w:val="24"/>
                <w:szCs w:val="24"/>
              </w:rPr>
              <w:t>Mean / Score</w:t>
            </w:r>
          </w:p>
        </w:tc>
        <w:tc>
          <w:tcPr>
            <w:tcW w:w="0" w:type="auto"/>
            <w:hideMark/>
          </w:tcPr>
          <w:p w:rsidR="0015241A" w:rsidRPr="00392AC9" w:rsidRDefault="0015241A" w:rsidP="001674C6">
            <w:pPr>
              <w:spacing w:line="360" w:lineRule="auto"/>
              <w:jc w:val="both"/>
              <w:rPr>
                <w:rFonts w:ascii="Times New Roman" w:hAnsi="Times New Roman" w:cs="Times New Roman"/>
                <w:b/>
                <w:bCs/>
                <w:sz w:val="24"/>
                <w:szCs w:val="24"/>
              </w:rPr>
            </w:pPr>
            <w:r w:rsidRPr="00392AC9">
              <w:rPr>
                <w:rFonts w:ascii="Times New Roman" w:hAnsi="Times New Roman" w:cs="Times New Roman"/>
                <w:b/>
                <w:bCs/>
                <w:sz w:val="24"/>
                <w:szCs w:val="24"/>
              </w:rPr>
              <w:t>SD</w:t>
            </w:r>
          </w:p>
        </w:tc>
      </w:tr>
      <w:tr w:rsidR="0015241A" w:rsidRPr="00392AC9" w:rsidTr="00DA4E64">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Civic Knowledge Score (0–100)</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58.3</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14.7</w:t>
            </w:r>
          </w:p>
        </w:tc>
      </w:tr>
      <w:tr w:rsidR="0015241A" w:rsidRPr="00392AC9" w:rsidTr="00DA4E64">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Signed/shared online petition (past year)</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46%</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r>
      <w:tr w:rsidR="0015241A" w:rsidRPr="00392AC9" w:rsidTr="00DA4E64">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Participated in community meeting</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29%</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r>
      <w:tr w:rsidR="0015241A" w:rsidRPr="00392AC9" w:rsidTr="00DA4E64">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Created/shared civic content online</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33%</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1674C6">
            <w:pPr>
              <w:spacing w:line="360" w:lineRule="auto"/>
              <w:jc w:val="both"/>
              <w:rPr>
                <w:rFonts w:ascii="Times New Roman" w:hAnsi="Times New Roman" w:cs="Times New Roman"/>
                <w:sz w:val="24"/>
                <w:szCs w:val="24"/>
              </w:rPr>
            </w:pPr>
            <w:r w:rsidRPr="00392AC9">
              <w:rPr>
                <w:rFonts w:ascii="Times New Roman" w:hAnsi="Times New Roman" w:cs="Times New Roman"/>
                <w:sz w:val="24"/>
                <w:szCs w:val="24"/>
              </w:rPr>
              <w:t>–</w:t>
            </w:r>
          </w:p>
        </w:tc>
      </w:tr>
    </w:tbl>
    <w:p w:rsidR="001674C6" w:rsidRDefault="001674C6" w:rsidP="001674C6">
      <w:pPr>
        <w:keepNext/>
        <w:spacing w:after="0" w:line="480" w:lineRule="auto"/>
        <w:jc w:val="both"/>
      </w:pPr>
      <w:r>
        <w:rPr>
          <w:noProof/>
        </w:rPr>
        <w:lastRenderedPageBreak/>
        <w:drawing>
          <wp:inline distT="0" distB="0" distL="0" distR="0" wp14:anchorId="16CFE158" wp14:editId="4004AA43">
            <wp:extent cx="5486400" cy="37102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2_civic_participation.png"/>
                    <pic:cNvPicPr/>
                  </pic:nvPicPr>
                  <pic:blipFill>
                    <a:blip r:embed="rId8"/>
                    <a:stretch>
                      <a:fillRect/>
                    </a:stretch>
                  </pic:blipFill>
                  <pic:spPr>
                    <a:xfrm>
                      <a:off x="0" y="0"/>
                      <a:ext cx="5486400" cy="3710227"/>
                    </a:xfrm>
                    <a:prstGeom prst="rect">
                      <a:avLst/>
                    </a:prstGeom>
                  </pic:spPr>
                </pic:pic>
              </a:graphicData>
            </a:graphic>
          </wp:inline>
        </w:drawing>
      </w:r>
    </w:p>
    <w:p w:rsidR="003561D6" w:rsidRPr="0075430F" w:rsidRDefault="001674C6" w:rsidP="001674C6">
      <w:pPr>
        <w:pStyle w:val="Caption"/>
        <w:jc w:val="both"/>
        <w:rPr>
          <w:rFonts w:ascii="Times New Roman" w:hAnsi="Times New Roman" w:cs="Times New Roman"/>
          <w:color w:val="auto"/>
          <w:sz w:val="24"/>
          <w:szCs w:val="24"/>
        </w:rPr>
      </w:pPr>
      <w:r w:rsidRPr="0075430F">
        <w:rPr>
          <w:rFonts w:ascii="Times New Roman" w:hAnsi="Times New Roman" w:cs="Times New Roman"/>
          <w:color w:val="auto"/>
          <w:sz w:val="24"/>
          <w:szCs w:val="24"/>
        </w:rPr>
        <w:t xml:space="preserve">Figure </w:t>
      </w:r>
      <w:r w:rsidR="00AC1DCE" w:rsidRPr="0075430F">
        <w:rPr>
          <w:rFonts w:ascii="Times New Roman" w:hAnsi="Times New Roman" w:cs="Times New Roman"/>
          <w:color w:val="auto"/>
          <w:sz w:val="24"/>
          <w:szCs w:val="24"/>
        </w:rPr>
        <w:fldChar w:fldCharType="begin"/>
      </w:r>
      <w:r w:rsidR="00AC1DCE" w:rsidRPr="0075430F">
        <w:rPr>
          <w:rFonts w:ascii="Times New Roman" w:hAnsi="Times New Roman" w:cs="Times New Roman"/>
          <w:color w:val="auto"/>
          <w:sz w:val="24"/>
          <w:szCs w:val="24"/>
        </w:rPr>
        <w:instrText xml:space="preserve"> SEQ Figure \* ARABIC </w:instrText>
      </w:r>
      <w:r w:rsidR="00AC1DCE" w:rsidRPr="0075430F">
        <w:rPr>
          <w:rFonts w:ascii="Times New Roman" w:hAnsi="Times New Roman" w:cs="Times New Roman"/>
          <w:color w:val="auto"/>
          <w:sz w:val="24"/>
          <w:szCs w:val="24"/>
        </w:rPr>
        <w:fldChar w:fldCharType="separate"/>
      </w:r>
      <w:r w:rsidR="002823D2" w:rsidRPr="0075430F">
        <w:rPr>
          <w:rFonts w:ascii="Times New Roman" w:hAnsi="Times New Roman" w:cs="Times New Roman"/>
          <w:noProof/>
          <w:color w:val="auto"/>
          <w:sz w:val="24"/>
          <w:szCs w:val="24"/>
        </w:rPr>
        <w:t>2</w:t>
      </w:r>
      <w:r w:rsidR="00AC1DCE" w:rsidRPr="0075430F">
        <w:rPr>
          <w:rFonts w:ascii="Times New Roman" w:hAnsi="Times New Roman" w:cs="Times New Roman"/>
          <w:noProof/>
          <w:color w:val="auto"/>
          <w:sz w:val="24"/>
          <w:szCs w:val="24"/>
        </w:rPr>
        <w:fldChar w:fldCharType="end"/>
      </w:r>
      <w:r w:rsidRPr="0075430F">
        <w:rPr>
          <w:rFonts w:ascii="Times New Roman" w:hAnsi="Times New Roman" w:cs="Times New Roman"/>
          <w:color w:val="auto"/>
          <w:sz w:val="24"/>
          <w:szCs w:val="24"/>
        </w:rPr>
        <w:t>: ICT Integration and Civic Participation</w:t>
      </w:r>
    </w:p>
    <w:p w:rsidR="0015241A"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Regression Analysis</w:t>
      </w:r>
    </w:p>
    <w:p w:rsidR="0015241A" w:rsidRPr="00392AC9" w:rsidRDefault="0015241A" w:rsidP="00134260">
      <w:pPr>
        <w:pStyle w:val="NormalWeb"/>
        <w:spacing w:before="0" w:beforeAutospacing="0" w:after="0" w:afterAutospacing="0" w:line="480" w:lineRule="auto"/>
        <w:ind w:firstLine="360"/>
        <w:jc w:val="both"/>
      </w:pPr>
      <w:r w:rsidRPr="00392AC9">
        <w:t>To examine the predictive role of ICT integration on civic outcomes, multiple regression analyses were conducted.</w:t>
      </w:r>
    </w:p>
    <w:p w:rsidR="0015241A" w:rsidRPr="00392AC9" w:rsidRDefault="0015241A" w:rsidP="00793115">
      <w:pPr>
        <w:pStyle w:val="NormalWeb"/>
        <w:numPr>
          <w:ilvl w:val="0"/>
          <w:numId w:val="4"/>
        </w:numPr>
        <w:spacing w:before="0" w:beforeAutospacing="0" w:after="0" w:afterAutospacing="0" w:line="480" w:lineRule="auto"/>
        <w:jc w:val="both"/>
      </w:pPr>
      <w:r w:rsidRPr="00392AC9">
        <w:rPr>
          <w:rStyle w:val="Strong"/>
          <w:b w:val="0"/>
        </w:rPr>
        <w:t>Model 1 (controls only):</w:t>
      </w:r>
      <w:r w:rsidRPr="00392AC9">
        <w:t xml:space="preserve"> Parental education, urban background, and weekly internet hours emerged as significant predictors of civic knowledge.</w:t>
      </w:r>
    </w:p>
    <w:p w:rsidR="0015241A" w:rsidRPr="00392AC9" w:rsidRDefault="0015241A" w:rsidP="00793115">
      <w:pPr>
        <w:pStyle w:val="NormalWeb"/>
        <w:numPr>
          <w:ilvl w:val="0"/>
          <w:numId w:val="4"/>
        </w:numPr>
        <w:spacing w:before="0" w:beforeAutospacing="0" w:after="0" w:afterAutospacing="0" w:line="480" w:lineRule="auto"/>
        <w:jc w:val="both"/>
      </w:pPr>
      <w:r w:rsidRPr="00392AC9">
        <w:rPr>
          <w:rStyle w:val="Strong"/>
          <w:b w:val="0"/>
        </w:rPr>
        <w:t>Model 2 (with ICT Integration Index):</w:t>
      </w:r>
      <w:r w:rsidRPr="00392AC9">
        <w:t xml:space="preserve"> ICT integration significantly improved the model, with a coefficient of </w:t>
      </w:r>
      <w:r w:rsidRPr="00392AC9">
        <w:rPr>
          <w:rStyle w:val="Strong"/>
        </w:rPr>
        <w:t>+</w:t>
      </w:r>
      <w:r w:rsidRPr="00392AC9">
        <w:rPr>
          <w:rStyle w:val="Strong"/>
          <w:b w:val="0"/>
        </w:rPr>
        <w:t>6.8 (p &lt; 0.001)</w:t>
      </w:r>
      <w:r w:rsidRPr="00392AC9">
        <w:t>, indicating that a one-unit increase in standardized ICT integration predicted a 6.8-point increase in civic knowledge, controlling for covariates.</w:t>
      </w:r>
    </w:p>
    <w:p w:rsidR="0015241A" w:rsidRPr="00392AC9" w:rsidRDefault="0015241A" w:rsidP="00793115">
      <w:pPr>
        <w:pStyle w:val="NormalWeb"/>
        <w:numPr>
          <w:ilvl w:val="0"/>
          <w:numId w:val="4"/>
        </w:numPr>
        <w:spacing w:before="0" w:beforeAutospacing="0" w:after="0" w:afterAutospacing="0" w:line="480" w:lineRule="auto"/>
        <w:jc w:val="both"/>
      </w:pPr>
      <w:r w:rsidRPr="00392AC9">
        <w:rPr>
          <w:rStyle w:val="Strong"/>
          <w:b w:val="0"/>
        </w:rPr>
        <w:t>Moderation analysis</w:t>
      </w:r>
      <w:r w:rsidRPr="00392AC9">
        <w:rPr>
          <w:rStyle w:val="Strong"/>
        </w:rPr>
        <w:t>:</w:t>
      </w:r>
      <w:r w:rsidRPr="00392AC9">
        <w:t xml:space="preserve"> Teacher ICT competence positively moderated the effect of ICT integration on civic knowledge (</w:t>
      </w:r>
      <w:r w:rsidRPr="00392AC9">
        <w:rPr>
          <w:rStyle w:val="Strong"/>
          <w:b w:val="0"/>
        </w:rPr>
        <w:t>interaction term coefficient = +2.1, p = 0.02</w:t>
      </w:r>
      <w:r w:rsidRPr="00392AC9">
        <w:t xml:space="preserve">). </w:t>
      </w:r>
      <w:r w:rsidRPr="00392AC9">
        <w:lastRenderedPageBreak/>
        <w:t>Infrastructure reliability also moderated the relationship between ICT integration and civic participation intentions (</w:t>
      </w:r>
      <w:r w:rsidRPr="00392AC9">
        <w:rPr>
          <w:rStyle w:val="Strong"/>
          <w:b w:val="0"/>
        </w:rPr>
        <w:t>p = 0.03</w:t>
      </w:r>
      <w:r w:rsidRPr="00392AC9">
        <w:t>).</w:t>
      </w:r>
    </w:p>
    <w:p w:rsidR="003C4006" w:rsidRPr="001674C6" w:rsidRDefault="0015241A" w:rsidP="00793115">
      <w:pPr>
        <w:pStyle w:val="NormalWeb"/>
        <w:numPr>
          <w:ilvl w:val="0"/>
          <w:numId w:val="4"/>
        </w:numPr>
        <w:spacing w:before="0" w:beforeAutospacing="0" w:after="0" w:afterAutospacing="0" w:line="480" w:lineRule="auto"/>
        <w:jc w:val="both"/>
        <w:rPr>
          <w:rStyle w:val="Strong"/>
          <w:b w:val="0"/>
          <w:bCs w:val="0"/>
        </w:rPr>
      </w:pPr>
      <w:r w:rsidRPr="00392AC9">
        <w:t xml:space="preserve">Regression predicting civic participation intentions produced similar results, with ICT integration showing a coefficient of </w:t>
      </w:r>
      <w:r w:rsidRPr="00392AC9">
        <w:rPr>
          <w:rStyle w:val="Strong"/>
        </w:rPr>
        <w:t>+</w:t>
      </w:r>
      <w:r w:rsidRPr="00392AC9">
        <w:rPr>
          <w:rStyle w:val="Strong"/>
          <w:b w:val="0"/>
        </w:rPr>
        <w:t>0.42 on the 5-point scale (p &lt; 0.001)</w:t>
      </w:r>
      <w:r w:rsidRPr="00392AC9">
        <w:t>.</w:t>
      </w:r>
    </w:p>
    <w:p w:rsidR="0015241A" w:rsidRPr="00392AC9" w:rsidRDefault="0015241A" w:rsidP="00793115">
      <w:pPr>
        <w:pStyle w:val="NormalWeb"/>
        <w:spacing w:before="0" w:beforeAutospacing="0" w:after="0" w:afterAutospacing="0" w:line="480" w:lineRule="auto"/>
        <w:jc w:val="both"/>
      </w:pPr>
      <w:r w:rsidRPr="00392AC9">
        <w:rPr>
          <w:rStyle w:val="Strong"/>
        </w:rPr>
        <w:t>Table 3: Regression Results Predicting Civic Knowledge and Civic Participation</w:t>
      </w:r>
    </w:p>
    <w:tbl>
      <w:tblPr>
        <w:tblStyle w:val="TableGrid"/>
        <w:tblW w:w="0" w:type="auto"/>
        <w:tblLook w:val="04A0" w:firstRow="1" w:lastRow="0" w:firstColumn="1" w:lastColumn="0" w:noHBand="0" w:noVBand="1"/>
      </w:tblPr>
      <w:tblGrid>
        <w:gridCol w:w="2358"/>
        <w:gridCol w:w="1705"/>
        <w:gridCol w:w="516"/>
        <w:gridCol w:w="922"/>
        <w:gridCol w:w="2291"/>
        <w:gridCol w:w="636"/>
        <w:gridCol w:w="922"/>
      </w:tblGrid>
      <w:tr w:rsidR="0015241A" w:rsidRPr="00392AC9" w:rsidTr="00841285">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Predictor Variable</w:t>
            </w:r>
          </w:p>
        </w:tc>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Civic Knowledge (B)</w:t>
            </w:r>
          </w:p>
        </w:tc>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SE</w:t>
            </w:r>
          </w:p>
        </w:tc>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p-value</w:t>
            </w:r>
          </w:p>
        </w:tc>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Civic Participation Intentions (B)</w:t>
            </w:r>
          </w:p>
        </w:tc>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SE</w:t>
            </w:r>
          </w:p>
        </w:tc>
        <w:tc>
          <w:tcPr>
            <w:tcW w:w="0" w:type="auto"/>
            <w:hideMark/>
          </w:tcPr>
          <w:p w:rsidR="0015241A" w:rsidRPr="00392AC9" w:rsidRDefault="0015241A" w:rsidP="006D1755">
            <w:pPr>
              <w:jc w:val="both"/>
              <w:rPr>
                <w:rFonts w:ascii="Times New Roman" w:hAnsi="Times New Roman" w:cs="Times New Roman"/>
                <w:b/>
                <w:bCs/>
                <w:sz w:val="24"/>
                <w:szCs w:val="24"/>
              </w:rPr>
            </w:pPr>
            <w:r w:rsidRPr="00392AC9">
              <w:rPr>
                <w:rFonts w:ascii="Times New Roman" w:hAnsi="Times New Roman" w:cs="Times New Roman"/>
                <w:b/>
                <w:bCs/>
                <w:sz w:val="24"/>
                <w:szCs w:val="24"/>
              </w:rPr>
              <w:t>p-value</w:t>
            </w:r>
          </w:p>
        </w:tc>
      </w:tr>
      <w:tr w:rsidR="0015241A" w:rsidRPr="00392AC9" w:rsidTr="00841285">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Parental Education</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+3.5</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1.1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+0.08</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0.03</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0.02</w:t>
            </w:r>
          </w:p>
        </w:tc>
      </w:tr>
      <w:tr w:rsidR="0015241A" w:rsidRPr="00392AC9" w:rsidTr="00841285">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Urban Background</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+4.2</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1.3</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0.001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+0.11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0.04</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0.01</w:t>
            </w:r>
          </w:p>
        </w:tc>
      </w:tr>
      <w:tr w:rsidR="0015241A" w:rsidRPr="00392AC9" w:rsidTr="00841285">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Weekly Internet Hours</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+0.7</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0.2</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0.001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+0.05</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0.001</w:t>
            </w:r>
          </w:p>
        </w:tc>
      </w:tr>
      <w:tr w:rsidR="0015241A" w:rsidRPr="00392AC9" w:rsidTr="00841285">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ICT Integration Index</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+6.8</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1.4</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&lt;0.001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+0.42</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0.07</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&lt;0.001</w:t>
            </w:r>
          </w:p>
        </w:tc>
      </w:tr>
      <w:tr w:rsidR="0015241A" w:rsidRPr="00392AC9" w:rsidTr="00841285">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Teacher ICT Competence (moderator)</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+2.1</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0.9</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0.02</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+0.10</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0.05</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0.04</w:t>
            </w:r>
          </w:p>
        </w:tc>
      </w:tr>
      <w:tr w:rsidR="0015241A" w:rsidRPr="00392AC9" w:rsidTr="00841285">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Infrastructure Reliability (moderator)</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+0.13</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0.06</w:t>
            </w:r>
          </w:p>
        </w:tc>
        <w:tc>
          <w:tcPr>
            <w:tcW w:w="0" w:type="auto"/>
            <w:hideMark/>
          </w:tcPr>
          <w:p w:rsidR="0015241A" w:rsidRPr="00392AC9" w:rsidRDefault="0015241A" w:rsidP="006D1755">
            <w:pPr>
              <w:jc w:val="both"/>
              <w:rPr>
                <w:rFonts w:ascii="Times New Roman" w:hAnsi="Times New Roman" w:cs="Times New Roman"/>
                <w:sz w:val="24"/>
                <w:szCs w:val="24"/>
              </w:rPr>
            </w:pPr>
            <w:r w:rsidRPr="00392AC9">
              <w:rPr>
                <w:rFonts w:ascii="Times New Roman" w:hAnsi="Times New Roman" w:cs="Times New Roman"/>
                <w:sz w:val="24"/>
                <w:szCs w:val="24"/>
              </w:rPr>
              <w:t>0.03</w:t>
            </w:r>
          </w:p>
        </w:tc>
      </w:tr>
    </w:tbl>
    <w:p w:rsidR="003C4006" w:rsidRDefault="003C4006" w:rsidP="00793115">
      <w:pPr>
        <w:spacing w:after="0" w:line="480" w:lineRule="auto"/>
        <w:jc w:val="both"/>
        <w:rPr>
          <w:rFonts w:ascii="Times New Roman" w:hAnsi="Times New Roman" w:cs="Times New Roman"/>
          <w:b/>
          <w:sz w:val="24"/>
          <w:szCs w:val="24"/>
        </w:rPr>
      </w:pPr>
    </w:p>
    <w:p w:rsidR="002823D2" w:rsidRDefault="001674C6" w:rsidP="002823D2">
      <w:pPr>
        <w:keepNext/>
        <w:spacing w:after="0" w:line="480" w:lineRule="auto"/>
        <w:jc w:val="both"/>
      </w:pPr>
      <w:r>
        <w:rPr>
          <w:noProof/>
        </w:rPr>
        <w:drawing>
          <wp:inline distT="0" distB="0" distL="0" distR="0" wp14:anchorId="2C472F31" wp14:editId="41EA3BF3">
            <wp:extent cx="5486400" cy="302831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3_barriers_enablers.png"/>
                    <pic:cNvPicPr/>
                  </pic:nvPicPr>
                  <pic:blipFill>
                    <a:blip r:embed="rId9"/>
                    <a:stretch>
                      <a:fillRect/>
                    </a:stretch>
                  </pic:blipFill>
                  <pic:spPr>
                    <a:xfrm>
                      <a:off x="0" y="0"/>
                      <a:ext cx="5486400" cy="3028316"/>
                    </a:xfrm>
                    <a:prstGeom prst="rect">
                      <a:avLst/>
                    </a:prstGeom>
                  </pic:spPr>
                </pic:pic>
              </a:graphicData>
            </a:graphic>
          </wp:inline>
        </w:drawing>
      </w:r>
    </w:p>
    <w:p w:rsidR="003C4006" w:rsidRPr="0075430F" w:rsidRDefault="002823D2" w:rsidP="002823D2">
      <w:pPr>
        <w:pStyle w:val="Caption"/>
        <w:jc w:val="both"/>
        <w:rPr>
          <w:rFonts w:ascii="Times New Roman" w:hAnsi="Times New Roman" w:cs="Times New Roman"/>
          <w:color w:val="auto"/>
          <w:sz w:val="24"/>
          <w:szCs w:val="24"/>
        </w:rPr>
      </w:pPr>
      <w:r w:rsidRPr="0075430F">
        <w:rPr>
          <w:rFonts w:ascii="Times New Roman" w:hAnsi="Times New Roman" w:cs="Times New Roman"/>
          <w:color w:val="auto"/>
          <w:sz w:val="24"/>
          <w:szCs w:val="24"/>
        </w:rPr>
        <w:t xml:space="preserve">Figure </w:t>
      </w:r>
      <w:r w:rsidR="00AC1DCE" w:rsidRPr="0075430F">
        <w:rPr>
          <w:rFonts w:ascii="Times New Roman" w:hAnsi="Times New Roman" w:cs="Times New Roman"/>
          <w:color w:val="auto"/>
          <w:sz w:val="24"/>
          <w:szCs w:val="24"/>
        </w:rPr>
        <w:fldChar w:fldCharType="begin"/>
      </w:r>
      <w:r w:rsidR="00AC1DCE" w:rsidRPr="0075430F">
        <w:rPr>
          <w:rFonts w:ascii="Times New Roman" w:hAnsi="Times New Roman" w:cs="Times New Roman"/>
          <w:color w:val="auto"/>
          <w:sz w:val="24"/>
          <w:szCs w:val="24"/>
        </w:rPr>
        <w:instrText xml:space="preserve"> SEQ Figure \* ARABIC </w:instrText>
      </w:r>
      <w:r w:rsidR="00AC1DCE" w:rsidRPr="0075430F">
        <w:rPr>
          <w:rFonts w:ascii="Times New Roman" w:hAnsi="Times New Roman" w:cs="Times New Roman"/>
          <w:color w:val="auto"/>
          <w:sz w:val="24"/>
          <w:szCs w:val="24"/>
        </w:rPr>
        <w:fldChar w:fldCharType="separate"/>
      </w:r>
      <w:r w:rsidRPr="0075430F">
        <w:rPr>
          <w:rFonts w:ascii="Times New Roman" w:hAnsi="Times New Roman" w:cs="Times New Roman"/>
          <w:noProof/>
          <w:color w:val="auto"/>
          <w:sz w:val="24"/>
          <w:szCs w:val="24"/>
        </w:rPr>
        <w:t>3</w:t>
      </w:r>
      <w:r w:rsidR="00AC1DCE" w:rsidRPr="0075430F">
        <w:rPr>
          <w:rFonts w:ascii="Times New Roman" w:hAnsi="Times New Roman" w:cs="Times New Roman"/>
          <w:noProof/>
          <w:color w:val="auto"/>
          <w:sz w:val="24"/>
          <w:szCs w:val="24"/>
        </w:rPr>
        <w:fldChar w:fldCharType="end"/>
      </w:r>
      <w:r w:rsidRPr="0075430F">
        <w:rPr>
          <w:rFonts w:ascii="Times New Roman" w:hAnsi="Times New Roman" w:cs="Times New Roman"/>
          <w:color w:val="auto"/>
          <w:sz w:val="24"/>
          <w:szCs w:val="24"/>
        </w:rPr>
        <w:t>: Barriers and Enablers Affecting ICT-Civic Engagement</w:t>
      </w:r>
    </w:p>
    <w:p w:rsidR="0015241A" w:rsidRPr="00392AC9" w:rsidRDefault="0015241A"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lastRenderedPageBreak/>
        <w:t>Qualitative Findings</w:t>
      </w:r>
    </w:p>
    <w:p w:rsidR="0015241A" w:rsidRPr="00392AC9" w:rsidRDefault="0015241A" w:rsidP="00134260">
      <w:pPr>
        <w:pStyle w:val="NormalWeb"/>
        <w:spacing w:before="0" w:beforeAutospacing="0" w:after="0" w:afterAutospacing="0" w:line="480" w:lineRule="auto"/>
        <w:ind w:firstLine="360"/>
        <w:jc w:val="both"/>
      </w:pPr>
      <w:r w:rsidRPr="00392AC9">
        <w:t>Analysis of focus group discussions revealed four dominant themes:</w:t>
      </w:r>
    </w:p>
    <w:p w:rsidR="0015241A" w:rsidRPr="00392AC9" w:rsidRDefault="006D1755" w:rsidP="00793115">
      <w:pPr>
        <w:pStyle w:val="NormalWeb"/>
        <w:numPr>
          <w:ilvl w:val="0"/>
          <w:numId w:val="5"/>
        </w:numPr>
        <w:spacing w:before="0" w:beforeAutospacing="0" w:after="0" w:afterAutospacing="0" w:line="480" w:lineRule="auto"/>
        <w:jc w:val="both"/>
      </w:pPr>
      <w:r>
        <w:rPr>
          <w:rStyle w:val="Strong"/>
          <w:b w:val="0"/>
        </w:rPr>
        <w:t xml:space="preserve">Practical </w:t>
      </w:r>
      <w:r w:rsidR="0015241A" w:rsidRPr="00392AC9">
        <w:rPr>
          <w:rStyle w:val="Strong"/>
          <w:b w:val="0"/>
        </w:rPr>
        <w:t>Civic Application Matters</w:t>
      </w:r>
      <w:r>
        <w:rPr>
          <w:rStyle w:val="Strong"/>
          <w:b w:val="0"/>
        </w:rPr>
        <w:t>:</w:t>
      </w:r>
      <w:r>
        <w:rPr>
          <w:b/>
        </w:rPr>
        <w:t xml:space="preserve"> </w:t>
      </w:r>
      <w:r w:rsidR="0015241A" w:rsidRPr="00392AC9">
        <w:t>Students emphasized that ICT assignments explicitly linked to community issues—such as digital design projects addressing environmental concerns or online civic mapping tasks—helped them feel more confident applying ICT tools to real-world civic problems.</w:t>
      </w:r>
    </w:p>
    <w:p w:rsidR="0015241A" w:rsidRPr="00392AC9" w:rsidRDefault="0015241A" w:rsidP="00793115">
      <w:pPr>
        <w:pStyle w:val="NormalWeb"/>
        <w:numPr>
          <w:ilvl w:val="0"/>
          <w:numId w:val="5"/>
        </w:numPr>
        <w:spacing w:before="0" w:beforeAutospacing="0" w:after="0" w:afterAutospacing="0" w:line="480" w:lineRule="auto"/>
        <w:jc w:val="both"/>
      </w:pPr>
      <w:r w:rsidRPr="00392AC9">
        <w:rPr>
          <w:rStyle w:val="Strong"/>
          <w:b w:val="0"/>
        </w:rPr>
        <w:t>Teachers as Gatekeepers</w:t>
      </w:r>
      <w:r w:rsidR="006D1755">
        <w:rPr>
          <w:rStyle w:val="Strong"/>
          <w:b w:val="0"/>
        </w:rPr>
        <w:t>:</w:t>
      </w:r>
      <w:r w:rsidR="006D1755">
        <w:rPr>
          <w:b/>
        </w:rPr>
        <w:t xml:space="preserve"> </w:t>
      </w:r>
      <w:r w:rsidRPr="00392AC9">
        <w:t xml:space="preserve">Teachers played a pivotal role in shaping civic use of ICT. </w:t>
      </w:r>
      <w:r w:rsidR="00134260">
        <w:t>When educators modelled practices such as verifying information, creating digital civic campaigns, or engaging in</w:t>
      </w:r>
      <w:r w:rsidRPr="00392AC9">
        <w:t xml:space="preserve"> public discourse online, students were more motivated to participate in civic activities.</w:t>
      </w:r>
    </w:p>
    <w:p w:rsidR="00604813" w:rsidRPr="00392AC9" w:rsidRDefault="0015241A" w:rsidP="00793115">
      <w:pPr>
        <w:pStyle w:val="NormalWeb"/>
        <w:numPr>
          <w:ilvl w:val="0"/>
          <w:numId w:val="5"/>
        </w:numPr>
        <w:spacing w:before="0" w:beforeAutospacing="0" w:after="0" w:afterAutospacing="0" w:line="480" w:lineRule="auto"/>
        <w:jc w:val="both"/>
      </w:pPr>
      <w:r w:rsidRPr="00392AC9">
        <w:rPr>
          <w:rStyle w:val="Strong"/>
          <w:b w:val="0"/>
        </w:rPr>
        <w:t>Infrastructure and Cost Barriers</w:t>
      </w:r>
      <w:r w:rsidR="006D1755">
        <w:rPr>
          <w:b/>
        </w:rPr>
        <w:t xml:space="preserve">: </w:t>
      </w:r>
      <w:r w:rsidRPr="00392AC9">
        <w:t>Across states, students highlighted that unreliable internet access and high costs of data were significant barriers to sustaining civic engagement beyond classroom settings. While classroom ICT exposure was beneficial, continuation into personal civic life was often constrained by infrastructural challenges.</w:t>
      </w:r>
    </w:p>
    <w:p w:rsidR="00841285" w:rsidRPr="00392AC9" w:rsidRDefault="0015241A" w:rsidP="00793115">
      <w:pPr>
        <w:pStyle w:val="NormalWeb"/>
        <w:numPr>
          <w:ilvl w:val="0"/>
          <w:numId w:val="5"/>
        </w:numPr>
        <w:spacing w:before="0" w:beforeAutospacing="0" w:after="0" w:afterAutospacing="0" w:line="480" w:lineRule="auto"/>
        <w:jc w:val="both"/>
      </w:pPr>
      <w:r w:rsidRPr="00F36D4A">
        <w:rPr>
          <w:rStyle w:val="Strong"/>
          <w:b w:val="0"/>
        </w:rPr>
        <w:t>Digital Literacy and Critical Evaluation</w:t>
      </w:r>
      <w:r w:rsidR="006D1755">
        <w:rPr>
          <w:b/>
        </w:rPr>
        <w:t xml:space="preserve">: </w:t>
      </w:r>
      <w:r w:rsidRPr="00392AC9">
        <w:t>Students frequently mentioned the importance of critical digital literacy. Those who had been explicitly trained to evaluate online information for credibility and bias felt more empowered to engage confidently in online civic discussions, compared to peers who lacked such training.</w:t>
      </w:r>
    </w:p>
    <w:p w:rsidR="00841285" w:rsidRPr="00392AC9" w:rsidRDefault="00841285" w:rsidP="00793115">
      <w:pPr>
        <w:pStyle w:val="NormalWeb"/>
        <w:spacing w:before="0" w:beforeAutospacing="0" w:after="0" w:afterAutospacing="0" w:line="480" w:lineRule="auto"/>
        <w:jc w:val="both"/>
      </w:pPr>
      <w:r w:rsidRPr="00392AC9">
        <w:rPr>
          <w:b/>
          <w:bCs/>
        </w:rPr>
        <w:t>Discussion</w:t>
      </w:r>
    </w:p>
    <w:p w:rsidR="00841285" w:rsidRPr="00392AC9" w:rsidRDefault="00841285" w:rsidP="00134260">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This study provides empirical evidence that the integration of information and communication technology (ICT) into technology education is positively associated with both civic knowledge and civic participation intentions among Nigerian youths. The statistical evidence of a ~7-point increase in civic knowledge per standardized unit of ICT integration demonstrates </w:t>
      </w:r>
      <w:r w:rsidRPr="00392AC9">
        <w:rPr>
          <w:rFonts w:ascii="Times New Roman" w:eastAsia="Times New Roman" w:hAnsi="Times New Roman" w:cs="Times New Roman"/>
          <w:sz w:val="24"/>
          <w:szCs w:val="24"/>
        </w:rPr>
        <w:lastRenderedPageBreak/>
        <w:t xml:space="preserve">not only statistical significance but also practical importance for educational policy and classroom practice. This finding reinforces the central claim that ICT, when effectively deployed, can bridge the gap between classroom learning and civic engagement outcomes. It moves beyond the notion of ICT as a mere technical </w:t>
      </w:r>
      <w:r w:rsidR="00134260">
        <w:rPr>
          <w:rFonts w:ascii="Times New Roman" w:eastAsia="Times New Roman" w:hAnsi="Times New Roman" w:cs="Times New Roman"/>
          <w:sz w:val="24"/>
          <w:szCs w:val="24"/>
        </w:rPr>
        <w:t>skill set</w:t>
      </w:r>
      <w:r w:rsidRPr="00392AC9">
        <w:rPr>
          <w:rFonts w:ascii="Times New Roman" w:eastAsia="Times New Roman" w:hAnsi="Times New Roman" w:cs="Times New Roman"/>
          <w:sz w:val="24"/>
          <w:szCs w:val="24"/>
        </w:rPr>
        <w:t xml:space="preserve"> to position it as a civic enabler within the framework of 21st-century learning.</w:t>
      </w:r>
    </w:p>
    <w:p w:rsidR="00841285" w:rsidRPr="00392AC9" w:rsidRDefault="00841285" w:rsidP="00134260">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The results of this study align with international syntheses which argue that digital civic engagement depends not only on physical access to technology but also on pedagogy, digital literacy, and contextual application (United Nations Children’s Fund, 2020). For instance, digital platforms have been shown globally to empower youths in civic decision-making when these platforms are embedded within structured learning experiences that emphasize problem-solving, dialogue, and participation (Sparks, 2019). In the Nigerian context, similar observations have been made. Restless Development (2024) reported that civic-technology tools have become significant drivers of youth participation when accompanied by adequate digital literacy training. These findings corroborate the evidence of this study that mere provision of devices or connectivity does not automatically translate to civic outcomes unless guided by deliberate pedagogy and supportive structures.</w:t>
      </w:r>
    </w:p>
    <w:p w:rsidR="00841285" w:rsidRPr="00392AC9" w:rsidRDefault="00841285" w:rsidP="0058759C">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A central mechanism revealed by this study is the use of pedagogically meaningful tasks that connect ICT applications directly to community issues. This observation echoes the emphasis by the United Nations Children’s Fund (2020), which underscores the need for civic learning experiences that are not isolated from real-life challenges but rather engage students in problem-solving relevant to their immediate communities. Similarly, </w:t>
      </w:r>
      <w:proofErr w:type="spellStart"/>
      <w:r w:rsidRPr="00392AC9">
        <w:rPr>
          <w:rFonts w:ascii="Times New Roman" w:eastAsia="Times New Roman" w:hAnsi="Times New Roman" w:cs="Times New Roman"/>
          <w:sz w:val="24"/>
          <w:szCs w:val="24"/>
        </w:rPr>
        <w:t>Ghavifekr</w:t>
      </w:r>
      <w:proofErr w:type="spellEnd"/>
      <w:r w:rsidRPr="00392AC9">
        <w:rPr>
          <w:rFonts w:ascii="Times New Roman" w:eastAsia="Times New Roman" w:hAnsi="Times New Roman" w:cs="Times New Roman"/>
          <w:sz w:val="24"/>
          <w:szCs w:val="24"/>
        </w:rPr>
        <w:t xml:space="preserve"> (2015) argued that the presence of hardware in schools, without corresponding changes in pedagogy and curriculum design, does not yield the desired outcomes in student learning or civic participation. The present </w:t>
      </w:r>
      <w:r w:rsidRPr="00392AC9">
        <w:rPr>
          <w:rFonts w:ascii="Times New Roman" w:eastAsia="Times New Roman" w:hAnsi="Times New Roman" w:cs="Times New Roman"/>
          <w:sz w:val="24"/>
          <w:szCs w:val="24"/>
        </w:rPr>
        <w:lastRenderedPageBreak/>
        <w:t>findings confirm this argument by showing that civic benefits of ICT integration emerge primarily where teaching strategies involve contextual application, collaborative projects, and reflective practices.</w:t>
      </w:r>
    </w:p>
    <w:p w:rsidR="00841285" w:rsidRPr="00392AC9" w:rsidRDefault="00841285" w:rsidP="0058759C">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 xml:space="preserve">Teacher competence emerged as a moderating factor in the relationship between ICT integration and civic learning outcomes. The results show that students derive greater civic knowledge and stronger participation intentions when their teachers are confident and skilled in ICT use. This finding is consistent with </w:t>
      </w:r>
      <w:proofErr w:type="spellStart"/>
      <w:r w:rsidRPr="00392AC9">
        <w:rPr>
          <w:rFonts w:ascii="Times New Roman" w:eastAsia="Times New Roman" w:hAnsi="Times New Roman" w:cs="Times New Roman"/>
          <w:sz w:val="24"/>
          <w:szCs w:val="24"/>
        </w:rPr>
        <w:t>Woldemariam</w:t>
      </w:r>
      <w:proofErr w:type="spellEnd"/>
      <w:r w:rsidRPr="00392AC9">
        <w:rPr>
          <w:rFonts w:ascii="Times New Roman" w:eastAsia="Times New Roman" w:hAnsi="Times New Roman" w:cs="Times New Roman"/>
          <w:sz w:val="24"/>
          <w:szCs w:val="24"/>
        </w:rPr>
        <w:t xml:space="preserve"> (2025), who highlighted that teacher preparedness and digital confidence are critical enablers of effective ICT-driven pedagogy. Inadequately trained teachers, on the other hand, may restrict ICT use to mechanical tasks, limiting its transformative potential. This underscores the urgent priority of sustained professional development for Nigerian teachers, focusing not only on technical ICT skills but also on pedagogical strategies that foster civic-mindedness among learners.</w:t>
      </w:r>
    </w:p>
    <w:p w:rsidR="00841285" w:rsidRPr="00392AC9" w:rsidRDefault="00841285" w:rsidP="0058759C">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Nevertheless, structural and contextual barriers continue to constrain the full translation of classroom ICT experiences into meaningful civic action. Prominent among these barriers are infrastructure unreliability, high data costs, and uneven access to digital resources. These challenges mirror the findings of United Nations Children’s Fund Nigeria (2025), which documented that digital inequality—particularly in terms of affordability and accessibility—remains a persistent constraint in Nigerian education systems. In rural and underserved communities, erratic electricity supply and poor internet penetration exacerbate this challenge, undermining the sustainability of ICT-driven civic engagement initiatives (</w:t>
      </w:r>
      <w:proofErr w:type="spellStart"/>
      <w:r w:rsidRPr="00392AC9">
        <w:rPr>
          <w:rFonts w:ascii="Times New Roman" w:eastAsia="Times New Roman" w:hAnsi="Times New Roman" w:cs="Times New Roman"/>
          <w:sz w:val="24"/>
          <w:szCs w:val="24"/>
        </w:rPr>
        <w:t>Adegbite</w:t>
      </w:r>
      <w:proofErr w:type="spellEnd"/>
      <w:r w:rsidRPr="00392AC9">
        <w:rPr>
          <w:rFonts w:ascii="Times New Roman" w:eastAsia="Times New Roman" w:hAnsi="Times New Roman" w:cs="Times New Roman"/>
          <w:sz w:val="24"/>
          <w:szCs w:val="24"/>
        </w:rPr>
        <w:t>, 2021). These barriers reveal that while pedagogical innovation is essential, structural reforms in infrastructure and connectivity are equally critical for ensuring inclusive access to ICT-enabled civic opportunities.</w:t>
      </w:r>
    </w:p>
    <w:p w:rsidR="00841285" w:rsidRPr="00392AC9" w:rsidRDefault="00841285" w:rsidP="0058759C">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lastRenderedPageBreak/>
        <w:t>The findings of this study thus have several implications. First, they suggest that policymakers should treat ICT integration in education as a civic as well as an academic investment. Second, teacher training and capacity development must be prioritized, given the centrality of teacher competence as a moderator of student civic outcomes. Third, infrastructural and cost-related barriers need to be systematically addressed through collaborative interventions by government, private sector actors, and international development partners. Finally, the design of civic tasks within classrooms should remain grounded in real-life issues, thereby ensuring that ICT experiences are not abstract but directly relevant to community well-being and democratic participation.</w:t>
      </w:r>
    </w:p>
    <w:p w:rsidR="00841285" w:rsidRPr="00392AC9" w:rsidRDefault="00110B5B" w:rsidP="0058759C">
      <w:pPr>
        <w:spacing w:after="0" w:line="480" w:lineRule="auto"/>
        <w:ind w:firstLine="720"/>
        <w:jc w:val="both"/>
        <w:rPr>
          <w:rFonts w:ascii="Times New Roman" w:eastAsia="Times New Roman" w:hAnsi="Times New Roman" w:cs="Times New Roman"/>
          <w:sz w:val="24"/>
          <w:szCs w:val="24"/>
        </w:rPr>
      </w:pPr>
      <w:r w:rsidRPr="00392AC9">
        <w:rPr>
          <w:rFonts w:ascii="Times New Roman" w:eastAsia="Times New Roman" w:hAnsi="Times New Roman" w:cs="Times New Roman"/>
          <w:sz w:val="24"/>
          <w:szCs w:val="24"/>
        </w:rPr>
        <w:t>T</w:t>
      </w:r>
      <w:r w:rsidR="00841285" w:rsidRPr="00392AC9">
        <w:rPr>
          <w:rFonts w:ascii="Times New Roman" w:eastAsia="Times New Roman" w:hAnsi="Times New Roman" w:cs="Times New Roman"/>
          <w:sz w:val="24"/>
          <w:szCs w:val="24"/>
        </w:rPr>
        <w:t>his study makes clear that ICT integration in technology education has significant potential to enhance both civic knowledge and participation intentions among Nigerian youths. However, the realization of this potential requires deliberate pedagogy, strong teacher competence, and systemic attention to structural barriers. If Nigeria is to harness the transformative power of digital technologies for civic engagement, efforts must combine classroom-level innovations with broader structural reforms.</w:t>
      </w:r>
    </w:p>
    <w:p w:rsidR="00110B5B" w:rsidRPr="00392AC9" w:rsidRDefault="00110B5B"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Conclusion</w:t>
      </w:r>
    </w:p>
    <w:p w:rsidR="00110B5B" w:rsidRPr="00392AC9" w:rsidRDefault="00110B5B" w:rsidP="0058759C">
      <w:pPr>
        <w:pStyle w:val="NormalWeb"/>
        <w:spacing w:before="0" w:beforeAutospacing="0" w:after="0" w:afterAutospacing="0" w:line="480" w:lineRule="auto"/>
        <w:ind w:firstLine="720"/>
        <w:jc w:val="both"/>
      </w:pPr>
      <w:r w:rsidRPr="00392AC9">
        <w:t xml:space="preserve">The findings of this study underscore that Information and Communication Technology (ICT) integration in technology education represents more than a technical innovation; it is a strategic pathway for cultivating informed, engaged, and responsible citizens in Nigeria. The results confirm that ICT integration significantly enhances civic knowledge and strengthens youths’ intentions toward civic participation, both online and offline. However, the study also makes it clear that the promise of ICT cannot be fully realized through hardware provision alone. </w:t>
      </w:r>
      <w:r w:rsidRPr="00392AC9">
        <w:lastRenderedPageBreak/>
        <w:t>Genuine impact depends on purposeful pedagogy, teacher competence, reliable infrastructure, and the creation of meaningful linkages to civic platforms.</w:t>
      </w:r>
    </w:p>
    <w:p w:rsidR="00110B5B" w:rsidRPr="00392AC9" w:rsidRDefault="00110B5B" w:rsidP="0058759C">
      <w:pPr>
        <w:pStyle w:val="NormalWeb"/>
        <w:spacing w:before="0" w:beforeAutospacing="0" w:after="0" w:afterAutospacing="0" w:line="480" w:lineRule="auto"/>
        <w:ind w:firstLine="720"/>
        <w:jc w:val="both"/>
      </w:pPr>
      <w:r w:rsidRPr="00392AC9">
        <w:t>Purposeful pedagogy is critical because the transformative potential of ICT emerges only when teaching practices connect digital tools to authentic civic issues. Classrooms that incorporate project-based learning, digital debates, and community-driven problem-solving create an environment where civic knowledge is not merely theoretical but actionable. Equally important is teacher competence: when teachers possess both technical proficiency and confidence in designing digital civic tasks, they act as enablers of student engagement, amplifying the civic value of ICT resources. This calls for continuous professional development initiatives that specifically emphasize digital civic pedagogy.</w:t>
      </w:r>
    </w:p>
    <w:p w:rsidR="00110B5B" w:rsidRPr="00392AC9" w:rsidRDefault="00110B5B" w:rsidP="0058759C">
      <w:pPr>
        <w:pStyle w:val="NormalWeb"/>
        <w:spacing w:before="0" w:beforeAutospacing="0" w:after="0" w:afterAutospacing="0" w:line="480" w:lineRule="auto"/>
        <w:ind w:firstLine="720"/>
        <w:jc w:val="both"/>
      </w:pPr>
      <w:r w:rsidRPr="00392AC9">
        <w:t>Infrastructure remains another pivotal factor. Unreliable electricity, poor connectivity, and high data costs restrict students’ opportunities to translate digital learning into civic action. Addressing these systemic barriers requires coordinated investment from government, private sector actors, and international partners to ensure equitable access. Beyond infrastructure, integration must also extend to civic platforms—spaces where youths can practice their digital civic skills by contributing to real societal issues, whether through policy consultations, community advocacy, or online civic campaigns.</w:t>
      </w:r>
    </w:p>
    <w:p w:rsidR="006D1755" w:rsidRPr="0058759C" w:rsidRDefault="00110B5B" w:rsidP="0058759C">
      <w:pPr>
        <w:pStyle w:val="NormalWeb"/>
        <w:spacing w:before="0" w:beforeAutospacing="0" w:after="0" w:afterAutospacing="0" w:line="480" w:lineRule="auto"/>
        <w:ind w:firstLine="720"/>
        <w:jc w:val="both"/>
      </w:pPr>
      <w:r w:rsidRPr="00392AC9">
        <w:t xml:space="preserve">Taken together, the study highlights a holistic approach: curriculum redesign that aligns digital literacy with civic education, professional development for teachers, targeted infrastructure improvement, and partnerships with civic organizations to provide practical engagement opportunities. Policy-makers and educators should therefore treat ICT not merely as a technological add-on but as a civic catalyst. By implementing these measures, Nigeria can nurture a new generation of digitally capable citizens prepared to contribute meaningfully to democratic </w:t>
      </w:r>
      <w:r w:rsidRPr="00392AC9">
        <w:lastRenderedPageBreak/>
        <w:t>governance, social development, and the strengthening of national identity. In essence, ICT integration in technology education is not just an educational reform—it is an investment in the democratic future of Nigerian youths.</w:t>
      </w:r>
    </w:p>
    <w:p w:rsidR="00110B5B" w:rsidRPr="00392AC9" w:rsidRDefault="00110B5B" w:rsidP="00793115">
      <w:pPr>
        <w:spacing w:after="0" w:line="480" w:lineRule="auto"/>
        <w:jc w:val="both"/>
        <w:rPr>
          <w:rFonts w:ascii="Times New Roman" w:hAnsi="Times New Roman" w:cs="Times New Roman"/>
          <w:b/>
          <w:sz w:val="24"/>
          <w:szCs w:val="24"/>
        </w:rPr>
      </w:pPr>
      <w:r w:rsidRPr="00392AC9">
        <w:rPr>
          <w:rFonts w:ascii="Times New Roman" w:hAnsi="Times New Roman" w:cs="Times New Roman"/>
          <w:b/>
          <w:sz w:val="24"/>
          <w:szCs w:val="24"/>
        </w:rPr>
        <w:t>Recommendations</w:t>
      </w:r>
    </w:p>
    <w:p w:rsidR="00110B5B" w:rsidRPr="00392AC9" w:rsidRDefault="00110B5B" w:rsidP="00793115">
      <w:pPr>
        <w:pStyle w:val="NormalWeb"/>
        <w:numPr>
          <w:ilvl w:val="0"/>
          <w:numId w:val="6"/>
        </w:numPr>
        <w:spacing w:before="0" w:beforeAutospacing="0" w:after="0" w:afterAutospacing="0" w:line="480" w:lineRule="auto"/>
        <w:jc w:val="both"/>
      </w:pPr>
      <w:r w:rsidRPr="00392AC9">
        <w:t>Curriculum developers should include explicit assignments that require students to use ICT to investigate and propose solutions to community problems, using approaches such as design challenges.</w:t>
      </w:r>
    </w:p>
    <w:p w:rsidR="00110B5B" w:rsidRPr="00392AC9" w:rsidRDefault="00110B5B" w:rsidP="00793115">
      <w:pPr>
        <w:pStyle w:val="NormalWeb"/>
        <w:numPr>
          <w:ilvl w:val="0"/>
          <w:numId w:val="6"/>
        </w:numPr>
        <w:spacing w:before="0" w:beforeAutospacing="0" w:after="0" w:afterAutospacing="0" w:line="480" w:lineRule="auto"/>
        <w:jc w:val="both"/>
      </w:pPr>
      <w:r w:rsidRPr="00392AC9">
        <w:t>Provide sustained in-service training for teachers, focusing not only on ICT skills but also on pedagogical strategies for digital civic education, including source evaluation, online safety, and civic campaign design.</w:t>
      </w:r>
    </w:p>
    <w:p w:rsidR="00110B5B" w:rsidRPr="00392AC9" w:rsidRDefault="00110B5B" w:rsidP="00793115">
      <w:pPr>
        <w:pStyle w:val="NormalWeb"/>
        <w:numPr>
          <w:ilvl w:val="0"/>
          <w:numId w:val="6"/>
        </w:numPr>
        <w:spacing w:before="0" w:beforeAutospacing="0" w:after="0" w:afterAutospacing="0" w:line="480" w:lineRule="auto"/>
        <w:jc w:val="both"/>
      </w:pPr>
      <w:r w:rsidRPr="00392AC9">
        <w:t>Governments should prioritize reliable school internet connectivity and work with telecom providers to make educational data more affordable, ensuring continuity of civic-ICT activities outside the classroom.</w:t>
      </w:r>
    </w:p>
    <w:p w:rsidR="00110B5B" w:rsidRPr="00392AC9" w:rsidRDefault="00110B5B" w:rsidP="00793115">
      <w:pPr>
        <w:pStyle w:val="NormalWeb"/>
        <w:numPr>
          <w:ilvl w:val="0"/>
          <w:numId w:val="6"/>
        </w:numPr>
        <w:spacing w:before="0" w:beforeAutospacing="0" w:after="0" w:afterAutospacing="0" w:line="480" w:lineRule="auto"/>
        <w:jc w:val="both"/>
      </w:pPr>
      <w:r w:rsidRPr="00392AC9">
        <w:t>Establish collaborations between colleges, polytechnics, and civic-tech organizations that can provide real-world civic problem briefs, mentorship, and project support for students.</w:t>
      </w:r>
    </w:p>
    <w:p w:rsidR="006D1755" w:rsidRDefault="00110B5B" w:rsidP="006D1755">
      <w:pPr>
        <w:pStyle w:val="NormalWeb"/>
        <w:numPr>
          <w:ilvl w:val="0"/>
          <w:numId w:val="6"/>
        </w:numPr>
        <w:spacing w:before="0" w:beforeAutospacing="0" w:after="0" w:afterAutospacing="0" w:line="480" w:lineRule="auto"/>
        <w:jc w:val="both"/>
      </w:pPr>
      <w:r w:rsidRPr="00392AC9">
        <w:t>Integrate indicators for digital civic competencies into education monitoring frameworks and track how ICT integration contributes to civic knowledge and action among students.</w:t>
      </w:r>
    </w:p>
    <w:p w:rsidR="00D64FC4" w:rsidRPr="00D64FC4" w:rsidRDefault="00D64FC4" w:rsidP="00ED0D30">
      <w:pPr>
        <w:spacing w:after="0" w:line="240" w:lineRule="auto"/>
        <w:jc w:val="both"/>
        <w:rPr>
          <w:rFonts w:ascii="Times New Roman" w:hAnsi="Times New Roman" w:cs="Times New Roman"/>
          <w:b/>
          <w:sz w:val="24"/>
          <w:szCs w:val="24"/>
        </w:rPr>
      </w:pPr>
      <w:r w:rsidRPr="00D64FC4">
        <w:rPr>
          <w:rFonts w:ascii="Times New Roman" w:hAnsi="Times New Roman" w:cs="Times New Roman"/>
          <w:b/>
          <w:sz w:val="24"/>
          <w:szCs w:val="24"/>
        </w:rPr>
        <w:t>References</w:t>
      </w:r>
    </w:p>
    <w:p w:rsidR="00D64FC4" w:rsidRPr="00D64FC4" w:rsidRDefault="00D64FC4" w:rsidP="00ED0D30">
      <w:pPr>
        <w:pStyle w:val="NormalWeb"/>
        <w:spacing w:after="0" w:afterAutospacing="0"/>
        <w:ind w:left="360" w:hanging="360"/>
        <w:jc w:val="both"/>
      </w:pPr>
      <w:r w:rsidRPr="00D64FC4">
        <w:t xml:space="preserve">Adebayo, T. O. (2019). The role of digital media in political discourse and youth mobilization: Insights from Nigeria. </w:t>
      </w:r>
      <w:r w:rsidRPr="00D64FC4">
        <w:rPr>
          <w:rStyle w:val="Emphasis"/>
        </w:rPr>
        <w:t>Journal of African Communication Studies, 11</w:t>
      </w:r>
      <w:r w:rsidRPr="00D64FC4">
        <w:t>(2), 45–62.</w:t>
      </w:r>
    </w:p>
    <w:p w:rsidR="00D64FC4" w:rsidRPr="00D64FC4" w:rsidRDefault="00D64FC4" w:rsidP="00ED0D30">
      <w:pPr>
        <w:pStyle w:val="NormalWeb"/>
        <w:spacing w:after="0" w:afterAutospacing="0"/>
        <w:ind w:left="360" w:hanging="360"/>
        <w:jc w:val="both"/>
      </w:pPr>
      <w:proofErr w:type="spellStart"/>
      <w:r w:rsidRPr="00D64FC4">
        <w:t>Adegbite</w:t>
      </w:r>
      <w:proofErr w:type="spellEnd"/>
      <w:r w:rsidRPr="00D64FC4">
        <w:t xml:space="preserve">, O. (2021). Digital divide and civic participation among Nigerian youths: Challenges and policy options. </w:t>
      </w:r>
      <w:r w:rsidRPr="00D64FC4">
        <w:rPr>
          <w:rStyle w:val="Emphasis"/>
        </w:rPr>
        <w:t>African Journal of Civic Education, 13</w:t>
      </w:r>
      <w:r w:rsidRPr="00D64FC4">
        <w:t>(2), 77–91.</w:t>
      </w:r>
    </w:p>
    <w:p w:rsidR="00D64FC4" w:rsidRPr="00D64FC4" w:rsidRDefault="00D64FC4" w:rsidP="00ED0D30">
      <w:pPr>
        <w:pStyle w:val="NormalWeb"/>
        <w:spacing w:after="0" w:afterAutospacing="0"/>
        <w:ind w:left="360" w:hanging="360"/>
        <w:jc w:val="both"/>
      </w:pPr>
      <w:proofErr w:type="spellStart"/>
      <w:r w:rsidRPr="00D64FC4">
        <w:t>Bessong</w:t>
      </w:r>
      <w:proofErr w:type="spellEnd"/>
      <w:r w:rsidRPr="00D64FC4">
        <w:t xml:space="preserve">, C. D. (2024). Digital literacy and its effect on learners’ civic engagement in adult and vocational education in Nigeria. </w:t>
      </w:r>
      <w:r w:rsidRPr="00D64FC4">
        <w:rPr>
          <w:rStyle w:val="Emphasis"/>
        </w:rPr>
        <w:t>E-Journal (</w:t>
      </w:r>
      <w:proofErr w:type="spellStart"/>
      <w:r w:rsidRPr="00D64FC4">
        <w:rPr>
          <w:rStyle w:val="Emphasis"/>
        </w:rPr>
        <w:t>Universitas</w:t>
      </w:r>
      <w:proofErr w:type="spellEnd"/>
      <w:r w:rsidRPr="00D64FC4">
        <w:rPr>
          <w:rStyle w:val="Emphasis"/>
        </w:rPr>
        <w:t xml:space="preserve"> </w:t>
      </w:r>
      <w:proofErr w:type="spellStart"/>
      <w:r w:rsidRPr="00D64FC4">
        <w:rPr>
          <w:rStyle w:val="Emphasis"/>
        </w:rPr>
        <w:t>Airlangga</w:t>
      </w:r>
      <w:proofErr w:type="spellEnd"/>
      <w:r w:rsidRPr="00D64FC4">
        <w:rPr>
          <w:rStyle w:val="Emphasis"/>
        </w:rPr>
        <w:t>).</w:t>
      </w:r>
      <w:r w:rsidRPr="00D64FC4">
        <w:t xml:space="preserve"> Retrieved from </w:t>
      </w:r>
      <w:hyperlink r:id="rId10" w:history="1">
        <w:r w:rsidRPr="00D64FC4">
          <w:rPr>
            <w:rStyle w:val="Hyperlink"/>
          </w:rPr>
          <w:t>https://e-journal.unair.ac.id/MKP/article/download/63611/31101/363585</w:t>
        </w:r>
      </w:hyperlink>
    </w:p>
    <w:p w:rsidR="00D64FC4" w:rsidRPr="00D64FC4" w:rsidRDefault="00D64FC4" w:rsidP="00ED0D30">
      <w:pPr>
        <w:pStyle w:val="NormalWeb"/>
        <w:spacing w:after="0" w:afterAutospacing="0"/>
        <w:ind w:left="360" w:hanging="360"/>
        <w:jc w:val="both"/>
      </w:pPr>
      <w:proofErr w:type="spellStart"/>
      <w:r w:rsidRPr="00D64FC4">
        <w:lastRenderedPageBreak/>
        <w:t>Fahm</w:t>
      </w:r>
      <w:proofErr w:type="spellEnd"/>
      <w:r w:rsidRPr="00D64FC4">
        <w:t xml:space="preserve">, A. G. O. (2021). ICT enabled </w:t>
      </w:r>
      <w:proofErr w:type="spellStart"/>
      <w:r w:rsidRPr="00D64FC4">
        <w:t>Almajiri</w:t>
      </w:r>
      <w:proofErr w:type="spellEnd"/>
      <w:r w:rsidRPr="00D64FC4">
        <w:t xml:space="preserve"> education in Nigeria: Challenges and prospects. </w:t>
      </w:r>
      <w:r w:rsidRPr="00D64FC4">
        <w:rPr>
          <w:rStyle w:val="Emphasis"/>
        </w:rPr>
        <w:t>Education and Information Technologies.</w:t>
      </w:r>
      <w:r w:rsidRPr="00D64FC4">
        <w:t xml:space="preserve"> Retrieved from </w:t>
      </w:r>
      <w:hyperlink r:id="rId11" w:history="1">
        <w:r w:rsidRPr="00D64FC4">
          <w:rPr>
            <w:rStyle w:val="Hyperlink"/>
          </w:rPr>
          <w:t>https://www.ncbi.nlm.nih.gov/pmc/articles/PMC8435755/</w:t>
        </w:r>
      </w:hyperlink>
    </w:p>
    <w:p w:rsidR="00D64FC4" w:rsidRPr="00D64FC4" w:rsidRDefault="00D64FC4" w:rsidP="00ED0D30">
      <w:pPr>
        <w:pStyle w:val="NormalWeb"/>
        <w:spacing w:after="0" w:afterAutospacing="0"/>
        <w:ind w:left="360" w:hanging="360"/>
        <w:jc w:val="both"/>
      </w:pPr>
      <w:proofErr w:type="spellStart"/>
      <w:r w:rsidRPr="00D64FC4">
        <w:t>Ghavifekr</w:t>
      </w:r>
      <w:proofErr w:type="spellEnd"/>
      <w:r w:rsidRPr="00D64FC4">
        <w:t xml:space="preserve">, S. (2015). ICT integration in education: Key challenges and solutions. </w:t>
      </w:r>
      <w:r w:rsidRPr="00D64FC4">
        <w:rPr>
          <w:rStyle w:val="Emphasis"/>
        </w:rPr>
        <w:t>Malaysian Online Journal of Educational Technology, 3</w:t>
      </w:r>
      <w:r w:rsidRPr="00D64FC4">
        <w:t>(1), 1–18.</w:t>
      </w:r>
    </w:p>
    <w:p w:rsidR="00D64FC4" w:rsidRPr="00D64FC4" w:rsidRDefault="00D64FC4" w:rsidP="00ED0D30">
      <w:pPr>
        <w:pStyle w:val="NormalWeb"/>
        <w:spacing w:after="0" w:afterAutospacing="0"/>
        <w:ind w:left="360" w:hanging="360"/>
        <w:jc w:val="both"/>
      </w:pPr>
      <w:proofErr w:type="spellStart"/>
      <w:r w:rsidRPr="00D64FC4">
        <w:t>Ghavifekr</w:t>
      </w:r>
      <w:proofErr w:type="spellEnd"/>
      <w:r w:rsidRPr="00D64FC4">
        <w:t xml:space="preserve">, S. (2015). Effectiveness of ICT integration in schools: Teachers’ perceptions and practices. </w:t>
      </w:r>
      <w:r w:rsidRPr="00D64FC4">
        <w:rPr>
          <w:rStyle w:val="Emphasis"/>
        </w:rPr>
        <w:t>International Education Studies, 8</w:t>
      </w:r>
      <w:r w:rsidRPr="00D64FC4">
        <w:t xml:space="preserve">(1), 38–47.* Retrieved from </w:t>
      </w:r>
      <w:hyperlink r:id="rId12" w:history="1">
        <w:r w:rsidRPr="00D64FC4">
          <w:rPr>
            <w:rStyle w:val="Hyperlink"/>
          </w:rPr>
          <w:t>https://files.eric.ed.gov/fulltext/EJ1105224.pdf</w:t>
        </w:r>
      </w:hyperlink>
    </w:p>
    <w:p w:rsidR="00D64FC4" w:rsidRPr="00D64FC4" w:rsidRDefault="00D64FC4" w:rsidP="00ED0D30">
      <w:pPr>
        <w:pStyle w:val="NormalWeb"/>
        <w:spacing w:after="0" w:afterAutospacing="0"/>
        <w:ind w:left="360" w:hanging="360"/>
        <w:jc w:val="both"/>
      </w:pPr>
      <w:proofErr w:type="spellStart"/>
      <w:r w:rsidRPr="00D64FC4">
        <w:t>Nwosu</w:t>
      </w:r>
      <w:proofErr w:type="spellEnd"/>
      <w:r w:rsidRPr="00D64FC4">
        <w:t xml:space="preserve">, U. J. (2020). Integrating ICT into Nigerian classrooms: Challenges of infrastructure and policy implementation. </w:t>
      </w:r>
      <w:r w:rsidRPr="00D64FC4">
        <w:rPr>
          <w:rStyle w:val="Emphasis"/>
        </w:rPr>
        <w:t>Educational Technology Review, 5</w:t>
      </w:r>
      <w:r w:rsidRPr="00D64FC4">
        <w:t>(3), 101–115.</w:t>
      </w:r>
    </w:p>
    <w:p w:rsidR="00D64FC4" w:rsidRPr="00D64FC4" w:rsidRDefault="00D64FC4" w:rsidP="00ED0D30">
      <w:pPr>
        <w:pStyle w:val="NormalWeb"/>
        <w:spacing w:after="0" w:afterAutospacing="0"/>
        <w:ind w:left="360" w:hanging="360"/>
        <w:jc w:val="both"/>
      </w:pPr>
      <w:proofErr w:type="spellStart"/>
      <w:r w:rsidRPr="00D64FC4">
        <w:t>Ogunleye</w:t>
      </w:r>
      <w:proofErr w:type="spellEnd"/>
      <w:r w:rsidRPr="00D64FC4">
        <w:t xml:space="preserve">, A. S. (2021). Technology education for socio-economic empowerment: Bridging skills gaps in Nigerian tertiary institutions. </w:t>
      </w:r>
      <w:r w:rsidRPr="00D64FC4">
        <w:rPr>
          <w:rStyle w:val="Emphasis"/>
        </w:rPr>
        <w:t>International Journal of Technical and Vocational Education, 8</w:t>
      </w:r>
      <w:r w:rsidRPr="00D64FC4">
        <w:t>(1), 33–49.</w:t>
      </w:r>
    </w:p>
    <w:p w:rsidR="00D64FC4" w:rsidRPr="00D64FC4" w:rsidRDefault="00D64FC4" w:rsidP="00ED0D30">
      <w:pPr>
        <w:pStyle w:val="NormalWeb"/>
        <w:spacing w:after="0" w:afterAutospacing="0"/>
        <w:ind w:left="360" w:hanging="360"/>
        <w:jc w:val="both"/>
      </w:pPr>
      <w:proofErr w:type="spellStart"/>
      <w:r w:rsidRPr="00D64FC4">
        <w:t>Ojo</w:t>
      </w:r>
      <w:proofErr w:type="spellEnd"/>
      <w:r w:rsidRPr="00D64FC4">
        <w:t xml:space="preserve">, I. T. (2021). Online censorship, misinformation, and youth voices: The complicity of digital regulation in Nigeria. </w:t>
      </w:r>
      <w:r w:rsidRPr="00D64FC4">
        <w:rPr>
          <w:rStyle w:val="Emphasis"/>
        </w:rPr>
        <w:t>Journal of Internet Governance and Policy, 2</w:t>
      </w:r>
      <w:r w:rsidRPr="00D64FC4">
        <w:t>(1), 56–72.</w:t>
      </w:r>
    </w:p>
    <w:p w:rsidR="00D64FC4" w:rsidRPr="00D64FC4" w:rsidRDefault="00D64FC4" w:rsidP="00ED0D30">
      <w:pPr>
        <w:pStyle w:val="NormalWeb"/>
        <w:spacing w:after="0" w:afterAutospacing="0"/>
        <w:ind w:left="360" w:hanging="360"/>
        <w:jc w:val="both"/>
      </w:pPr>
      <w:proofErr w:type="spellStart"/>
      <w:r w:rsidRPr="00D64FC4">
        <w:t>Okoye</w:t>
      </w:r>
      <w:proofErr w:type="spellEnd"/>
      <w:r w:rsidRPr="00D64FC4">
        <w:t xml:space="preserve">, C. O. (2022). Youth activism on WhatsApp and Twitter: Digital platforms as spaces for political engagement in Nigeria. </w:t>
      </w:r>
      <w:r w:rsidRPr="00D64FC4">
        <w:rPr>
          <w:rStyle w:val="Emphasis"/>
        </w:rPr>
        <w:t>African Journal of Media and Communication, 14</w:t>
      </w:r>
      <w:r w:rsidRPr="00D64FC4">
        <w:t>(1), 77–91.</w:t>
      </w:r>
    </w:p>
    <w:p w:rsidR="00D64FC4" w:rsidRPr="00D64FC4" w:rsidRDefault="00D64FC4" w:rsidP="00ED0D30">
      <w:pPr>
        <w:pStyle w:val="NormalWeb"/>
        <w:spacing w:after="0" w:afterAutospacing="0"/>
        <w:ind w:left="360" w:hanging="360"/>
        <w:jc w:val="both"/>
      </w:pPr>
      <w:proofErr w:type="spellStart"/>
      <w:r w:rsidRPr="00D64FC4">
        <w:t>Olatunji</w:t>
      </w:r>
      <w:proofErr w:type="spellEnd"/>
      <w:r w:rsidRPr="00D64FC4">
        <w:t xml:space="preserve">, E. A. (2019). Civic competence and formal education in Nigeria: An assessment of school-based participation initiatives. </w:t>
      </w:r>
      <w:r w:rsidRPr="00D64FC4">
        <w:rPr>
          <w:rStyle w:val="Emphasis"/>
        </w:rPr>
        <w:t>Journal of Civic Studies, 6</w:t>
      </w:r>
      <w:r w:rsidRPr="00D64FC4">
        <w:t>(2), 113–128.</w:t>
      </w:r>
    </w:p>
    <w:p w:rsidR="00D64FC4" w:rsidRPr="00D64FC4" w:rsidRDefault="00D64FC4" w:rsidP="00ED0D30">
      <w:pPr>
        <w:pStyle w:val="NormalWeb"/>
        <w:spacing w:after="0" w:afterAutospacing="0"/>
        <w:ind w:left="360" w:hanging="360"/>
        <w:jc w:val="both"/>
      </w:pPr>
      <w:proofErr w:type="spellStart"/>
      <w:r w:rsidRPr="00D64FC4">
        <w:t>ResearchGate</w:t>
      </w:r>
      <w:proofErr w:type="spellEnd"/>
      <w:r w:rsidRPr="00D64FC4">
        <w:t xml:space="preserve">. (2025). Assessment of the impact of technology integration on the quality of education in colleges of education in Nigeria. </w:t>
      </w:r>
      <w:proofErr w:type="spellStart"/>
      <w:r w:rsidRPr="00D64FC4">
        <w:rPr>
          <w:rStyle w:val="Emphasis"/>
        </w:rPr>
        <w:t>ResearchGate</w:t>
      </w:r>
      <w:proofErr w:type="spellEnd"/>
      <w:r w:rsidRPr="00D64FC4">
        <w:rPr>
          <w:rStyle w:val="Emphasis"/>
        </w:rPr>
        <w:t xml:space="preserve"> Preprint.</w:t>
      </w:r>
      <w:r w:rsidRPr="00D64FC4">
        <w:t xml:space="preserve"> Retrieved from </w:t>
      </w:r>
      <w:hyperlink r:id="rId13" w:history="1">
        <w:r w:rsidRPr="00D64FC4">
          <w:rPr>
            <w:rStyle w:val="Hyperlink"/>
          </w:rPr>
          <w:t>https://www.researchgate.net/publication/389127455</w:t>
        </w:r>
      </w:hyperlink>
    </w:p>
    <w:p w:rsidR="00D64FC4" w:rsidRPr="00D64FC4" w:rsidRDefault="00D64FC4" w:rsidP="00ED0D30">
      <w:pPr>
        <w:pStyle w:val="NormalWeb"/>
        <w:spacing w:after="0" w:afterAutospacing="0"/>
        <w:ind w:left="360" w:hanging="360"/>
        <w:jc w:val="both"/>
      </w:pPr>
      <w:r w:rsidRPr="00D64FC4">
        <w:t xml:space="preserve">Restless Development. (2024). Civic-tech tools and youths' participation in elections in Nigeria: Accountability. </w:t>
      </w:r>
      <w:r w:rsidRPr="00D64FC4">
        <w:rPr>
          <w:rStyle w:val="Emphasis"/>
        </w:rPr>
        <w:t>Restless Development Research Report.</w:t>
      </w:r>
      <w:r w:rsidRPr="00D64FC4">
        <w:t xml:space="preserve"> Retrieved from </w:t>
      </w:r>
      <w:hyperlink r:id="rId14" w:history="1">
        <w:r w:rsidRPr="00D64FC4">
          <w:rPr>
            <w:rStyle w:val="Hyperlink"/>
          </w:rPr>
          <w:t>https://restlessdevelopment.org/wp-content/uploads/2024/07/Civic-Tech-Tools-and-Youths-Participation-in-Elections-in-Nigeria-Accountability-1.pdf</w:t>
        </w:r>
      </w:hyperlink>
    </w:p>
    <w:p w:rsidR="00D64FC4" w:rsidRPr="00D64FC4" w:rsidRDefault="00D64FC4" w:rsidP="00ED0D30">
      <w:pPr>
        <w:pStyle w:val="NormalWeb"/>
        <w:spacing w:after="0" w:afterAutospacing="0"/>
        <w:ind w:left="360" w:hanging="360"/>
        <w:jc w:val="both"/>
      </w:pPr>
      <w:r w:rsidRPr="00D64FC4">
        <w:t>Restless Development. (2024). Youth civic tech in Nigeria: Pathways to engagement. Abuja: Restless Development Nigeria.</w:t>
      </w:r>
    </w:p>
    <w:p w:rsidR="00D64FC4" w:rsidRPr="00D64FC4" w:rsidRDefault="00D64FC4" w:rsidP="00ED0D30">
      <w:pPr>
        <w:pStyle w:val="NormalWeb"/>
        <w:spacing w:after="0" w:afterAutospacing="0"/>
        <w:ind w:left="360" w:hanging="360"/>
        <w:jc w:val="both"/>
      </w:pPr>
      <w:r w:rsidRPr="00D64FC4">
        <w:t xml:space="preserve">Sparks, R. (2019). Digital citizenship and civic engagement: Pedagogical pathways for 21st century learners. </w:t>
      </w:r>
      <w:r w:rsidRPr="00D64FC4">
        <w:rPr>
          <w:rStyle w:val="Emphasis"/>
        </w:rPr>
        <w:t>Journal of Educational Change, 20</w:t>
      </w:r>
      <w:r w:rsidRPr="00D64FC4">
        <w:t>(3), 311–329.</w:t>
      </w:r>
    </w:p>
    <w:p w:rsidR="00D64FC4" w:rsidRPr="00D64FC4" w:rsidRDefault="00D64FC4" w:rsidP="00ED0D30">
      <w:pPr>
        <w:pStyle w:val="NormalWeb"/>
        <w:spacing w:after="0" w:afterAutospacing="0"/>
        <w:ind w:left="360" w:hanging="360"/>
        <w:jc w:val="both"/>
      </w:pPr>
      <w:proofErr w:type="spellStart"/>
      <w:r w:rsidRPr="00D64FC4">
        <w:t>TeenVogue</w:t>
      </w:r>
      <w:proofErr w:type="spellEnd"/>
      <w:r w:rsidRPr="00D64FC4">
        <w:t xml:space="preserve">. (2023). Young people in Nigeria are taking on political corruption and police brutality. </w:t>
      </w:r>
      <w:proofErr w:type="spellStart"/>
      <w:r w:rsidRPr="00D64FC4">
        <w:rPr>
          <w:rStyle w:val="Emphasis"/>
        </w:rPr>
        <w:t>TeenVogue</w:t>
      </w:r>
      <w:proofErr w:type="spellEnd"/>
      <w:r w:rsidRPr="00D64FC4">
        <w:rPr>
          <w:rStyle w:val="Emphasis"/>
        </w:rPr>
        <w:t>.</w:t>
      </w:r>
      <w:r w:rsidRPr="00D64FC4">
        <w:t xml:space="preserve"> Retrieved from </w:t>
      </w:r>
      <w:hyperlink r:id="rId15" w:history="1">
        <w:r w:rsidRPr="00D64FC4">
          <w:rPr>
            <w:rStyle w:val="Hyperlink"/>
          </w:rPr>
          <w:t>https://www.teenvogue.com/story/young-people-nigeria-corruption-police-brutality</w:t>
        </w:r>
      </w:hyperlink>
    </w:p>
    <w:p w:rsidR="00D64FC4" w:rsidRPr="00D64FC4" w:rsidRDefault="00D64FC4" w:rsidP="00ED0D30">
      <w:pPr>
        <w:pStyle w:val="NormalWeb"/>
        <w:spacing w:after="0" w:afterAutospacing="0"/>
        <w:ind w:left="360" w:hanging="360"/>
        <w:jc w:val="both"/>
      </w:pPr>
      <w:r w:rsidRPr="00D64FC4">
        <w:lastRenderedPageBreak/>
        <w:t xml:space="preserve">The Growing Digital Footprint Research Group. (2024). The growing digital footprint of Nigerian youth: Panacea to development? </w:t>
      </w:r>
      <w:r w:rsidRPr="00D64FC4">
        <w:rPr>
          <w:rStyle w:val="Emphasis"/>
        </w:rPr>
        <w:t>International Journal of Technology and Innovation in Education.</w:t>
      </w:r>
      <w:r w:rsidRPr="00D64FC4">
        <w:t xml:space="preserve"> Retrieved from </w:t>
      </w:r>
      <w:hyperlink r:id="rId16" w:history="1">
        <w:r w:rsidRPr="00D64FC4">
          <w:rPr>
            <w:rStyle w:val="Hyperlink"/>
          </w:rPr>
          <w:t>https://ijitie.aitie.org.ng/index.php/ijitie/article/download/269/162/767</w:t>
        </w:r>
      </w:hyperlink>
    </w:p>
    <w:p w:rsidR="00D64FC4" w:rsidRPr="00D64FC4" w:rsidRDefault="00D64FC4" w:rsidP="00ED0D30">
      <w:pPr>
        <w:pStyle w:val="NormalWeb"/>
        <w:spacing w:after="0" w:afterAutospacing="0"/>
        <w:ind w:left="360" w:hanging="360"/>
        <w:jc w:val="both"/>
      </w:pPr>
      <w:r w:rsidRPr="00D64FC4">
        <w:t xml:space="preserve">United Nations. (2020). </w:t>
      </w:r>
      <w:r w:rsidRPr="00D64FC4">
        <w:rPr>
          <w:rStyle w:val="Emphasis"/>
        </w:rPr>
        <w:t>The Sustainable Development Goals report 2020.</w:t>
      </w:r>
      <w:r w:rsidRPr="00D64FC4">
        <w:t xml:space="preserve"> United Nations.</w:t>
      </w:r>
    </w:p>
    <w:p w:rsidR="00D64FC4" w:rsidRPr="00D64FC4" w:rsidRDefault="00D64FC4" w:rsidP="00ED0D30">
      <w:pPr>
        <w:pStyle w:val="NormalWeb"/>
        <w:spacing w:after="0" w:afterAutospacing="0"/>
        <w:ind w:left="360" w:hanging="360"/>
        <w:jc w:val="both"/>
      </w:pPr>
      <w:r w:rsidRPr="00D64FC4">
        <w:t>United Nations Children’s Fund. (2020). Digital civic engagement by young people. New York: UNICEF.</w:t>
      </w:r>
    </w:p>
    <w:p w:rsidR="00D64FC4" w:rsidRPr="00D64FC4" w:rsidRDefault="00D64FC4" w:rsidP="00ED0D30">
      <w:pPr>
        <w:pStyle w:val="NormalWeb"/>
        <w:spacing w:after="0" w:afterAutospacing="0"/>
        <w:ind w:left="360" w:hanging="360"/>
        <w:jc w:val="both"/>
      </w:pPr>
      <w:r w:rsidRPr="00D64FC4">
        <w:t xml:space="preserve">United Nations Children’s Fund. (2020). Digital civic engagement by young people: An overview of research. </w:t>
      </w:r>
      <w:r w:rsidRPr="00D64FC4">
        <w:rPr>
          <w:rStyle w:val="Emphasis"/>
        </w:rPr>
        <w:t xml:space="preserve">UNICEF </w:t>
      </w:r>
      <w:proofErr w:type="spellStart"/>
      <w:r w:rsidRPr="00D64FC4">
        <w:rPr>
          <w:rStyle w:val="Emphasis"/>
        </w:rPr>
        <w:t>Innocenti</w:t>
      </w:r>
      <w:proofErr w:type="spellEnd"/>
      <w:r w:rsidRPr="00D64FC4">
        <w:rPr>
          <w:rStyle w:val="Emphasis"/>
        </w:rPr>
        <w:t xml:space="preserve"> Research.</w:t>
      </w:r>
      <w:r w:rsidRPr="00D64FC4">
        <w:t xml:space="preserve"> Retrieved from </w:t>
      </w:r>
      <w:hyperlink r:id="rId17" w:history="1">
        <w:r w:rsidRPr="00D64FC4">
          <w:rPr>
            <w:rStyle w:val="Hyperlink"/>
          </w:rPr>
          <w:t>https://www.unicef.org/reports/digital-civic-engagement-young-people-2020</w:t>
        </w:r>
      </w:hyperlink>
    </w:p>
    <w:p w:rsidR="00D64FC4" w:rsidRPr="00D64FC4" w:rsidRDefault="00D64FC4" w:rsidP="00ED0D30">
      <w:pPr>
        <w:pStyle w:val="NormalWeb"/>
        <w:spacing w:after="0" w:afterAutospacing="0"/>
        <w:ind w:left="360" w:hanging="360"/>
        <w:jc w:val="both"/>
      </w:pPr>
      <w:r w:rsidRPr="00D64FC4">
        <w:t xml:space="preserve">United Nations Children’s Fund Nigeria. (2021). COVID-19 design challenge: Young Nigerians develop solutions. </w:t>
      </w:r>
      <w:r w:rsidRPr="00D64FC4">
        <w:rPr>
          <w:rStyle w:val="Emphasis"/>
        </w:rPr>
        <w:t>UNICEF Nigeria.</w:t>
      </w:r>
      <w:r w:rsidRPr="00D64FC4">
        <w:t xml:space="preserve"> Retrieved from </w:t>
      </w:r>
      <w:hyperlink r:id="rId18" w:history="1">
        <w:r w:rsidRPr="00D64FC4">
          <w:rPr>
            <w:rStyle w:val="Hyperlink"/>
          </w:rPr>
          <w:t>https://www.unicef.org/nigeria/stories/covid-19-design-challenge-young-nigerians-develop-solutions-their-countrys-problems</w:t>
        </w:r>
      </w:hyperlink>
    </w:p>
    <w:p w:rsidR="00D64FC4" w:rsidRPr="00D64FC4" w:rsidRDefault="00D64FC4" w:rsidP="00ED0D30">
      <w:pPr>
        <w:pStyle w:val="NormalWeb"/>
        <w:spacing w:after="0" w:afterAutospacing="0"/>
        <w:ind w:left="360" w:hanging="360"/>
        <w:jc w:val="both"/>
      </w:pPr>
      <w:r w:rsidRPr="00D64FC4">
        <w:t xml:space="preserve">United Nations Children’s Fund Nigeria. (2025). Connecting every child to digital learning. </w:t>
      </w:r>
      <w:r w:rsidRPr="00D64FC4">
        <w:rPr>
          <w:rStyle w:val="Emphasis"/>
        </w:rPr>
        <w:t>UNICEF Nigeria.</w:t>
      </w:r>
      <w:r w:rsidRPr="00D64FC4">
        <w:t xml:space="preserve"> Retrieved from </w:t>
      </w:r>
      <w:hyperlink r:id="rId19" w:history="1">
        <w:r w:rsidRPr="00D64FC4">
          <w:rPr>
            <w:rStyle w:val="Hyperlink"/>
          </w:rPr>
          <w:t>https://www.unicef.org/nigeria/stories/connecting-every-child-digital-learning</w:t>
        </w:r>
      </w:hyperlink>
    </w:p>
    <w:p w:rsidR="00D64FC4" w:rsidRPr="00D64FC4" w:rsidRDefault="00D64FC4" w:rsidP="00ED0D30">
      <w:pPr>
        <w:pStyle w:val="NormalWeb"/>
        <w:spacing w:after="0" w:afterAutospacing="0"/>
        <w:ind w:left="360" w:hanging="360"/>
        <w:jc w:val="both"/>
      </w:pPr>
      <w:r w:rsidRPr="00D64FC4">
        <w:t>United Nations Children’s Fund Nigeria. (2025). Policy brief on digital access and civic participation. Abuja: UNICEF Nigeria.</w:t>
      </w:r>
    </w:p>
    <w:p w:rsidR="00D64FC4" w:rsidRPr="00D64FC4" w:rsidRDefault="00D64FC4" w:rsidP="00ED0D30">
      <w:pPr>
        <w:pStyle w:val="NormalWeb"/>
        <w:spacing w:after="0" w:afterAutospacing="0"/>
        <w:ind w:left="360" w:hanging="360"/>
        <w:jc w:val="both"/>
      </w:pPr>
      <w:r w:rsidRPr="00D64FC4">
        <w:t xml:space="preserve">Wired Magazine. (2023). Four people tweeting changed the face of Nigerian politics. </w:t>
      </w:r>
      <w:r w:rsidRPr="00D64FC4">
        <w:rPr>
          <w:rStyle w:val="Emphasis"/>
        </w:rPr>
        <w:t>Wired.</w:t>
      </w:r>
      <w:r w:rsidRPr="00D64FC4">
        <w:t xml:space="preserve"> Retrieved from </w:t>
      </w:r>
      <w:hyperlink r:id="rId20" w:history="1">
        <w:r w:rsidRPr="00D64FC4">
          <w:rPr>
            <w:rStyle w:val="Hyperlink"/>
          </w:rPr>
          <w:t>https://www.wired.com/story/four-people-tweeting-nigeria-politics-peter-obi</w:t>
        </w:r>
      </w:hyperlink>
    </w:p>
    <w:p w:rsidR="00D64FC4" w:rsidRPr="00D64FC4" w:rsidRDefault="00D64FC4" w:rsidP="00ED0D30">
      <w:pPr>
        <w:pStyle w:val="NormalWeb"/>
        <w:spacing w:after="0" w:afterAutospacing="0"/>
        <w:ind w:left="360" w:hanging="360"/>
        <w:jc w:val="both"/>
      </w:pPr>
      <w:proofErr w:type="spellStart"/>
      <w:r w:rsidRPr="00D64FC4">
        <w:t>Woldemariam</w:t>
      </w:r>
      <w:proofErr w:type="spellEnd"/>
      <w:r w:rsidRPr="00D64FC4">
        <w:t xml:space="preserve">, A. (2025). Teacher competence in ICT as a driver of civic learning outcomes. </w:t>
      </w:r>
      <w:r w:rsidRPr="00D64FC4">
        <w:rPr>
          <w:rStyle w:val="Emphasis"/>
        </w:rPr>
        <w:t>Journal of Comparative Education and Development, 15</w:t>
      </w:r>
      <w:r w:rsidRPr="00D64FC4">
        <w:t>(1), 54–69.</w:t>
      </w:r>
    </w:p>
    <w:p w:rsidR="00D64FC4" w:rsidRPr="00D64FC4" w:rsidRDefault="00D64FC4" w:rsidP="00ED0D30">
      <w:pPr>
        <w:pStyle w:val="NormalWeb"/>
        <w:spacing w:after="0" w:afterAutospacing="0"/>
        <w:ind w:left="360" w:hanging="360"/>
        <w:jc w:val="both"/>
      </w:pPr>
      <w:proofErr w:type="spellStart"/>
      <w:r w:rsidRPr="00D64FC4">
        <w:t>Woldemariam</w:t>
      </w:r>
      <w:proofErr w:type="spellEnd"/>
      <w:r w:rsidRPr="00D64FC4">
        <w:t xml:space="preserve">, M. T. (2025). Factors influencing effective integration of ICT in education: Comparative perspectives. </w:t>
      </w:r>
      <w:r w:rsidRPr="00D64FC4">
        <w:rPr>
          <w:rStyle w:val="Emphasis"/>
        </w:rPr>
        <w:t>Australasian Journal of Educational Technology.</w:t>
      </w:r>
      <w:r w:rsidRPr="00D64FC4">
        <w:t xml:space="preserve"> Retrieved from </w:t>
      </w:r>
      <w:hyperlink r:id="rId21" w:history="1">
        <w:r w:rsidRPr="00D64FC4">
          <w:rPr>
            <w:rStyle w:val="Hyperlink"/>
          </w:rPr>
          <w:t>https://ajet.org.au/index.php/AJET/article/download/9993/2180/34010</w:t>
        </w:r>
      </w:hyperlink>
    </w:p>
    <w:p w:rsidR="00D64FC4" w:rsidRPr="00D64FC4" w:rsidRDefault="00D64FC4" w:rsidP="00ED0D30">
      <w:pPr>
        <w:pStyle w:val="NormalWeb"/>
        <w:spacing w:after="0" w:afterAutospacing="0"/>
        <w:ind w:left="360" w:hanging="360"/>
        <w:jc w:val="both"/>
      </w:pPr>
      <w:r w:rsidRPr="00D64FC4">
        <w:t xml:space="preserve">Yusuf, M. K. (2018). Teacher readiness for ICT-enhanced pedagogy in Nigerian secondary schools. </w:t>
      </w:r>
      <w:r w:rsidRPr="00D64FC4">
        <w:rPr>
          <w:rStyle w:val="Emphasis"/>
        </w:rPr>
        <w:t>Nigerian Journal of Education Research, 7</w:t>
      </w:r>
      <w:r w:rsidRPr="00D64FC4">
        <w:t>(4), 22–34.</w:t>
      </w:r>
    </w:p>
    <w:p w:rsidR="00D64FC4" w:rsidRDefault="00D64FC4" w:rsidP="00D64FC4">
      <w:pPr>
        <w:pStyle w:val="NormalWeb"/>
        <w:spacing w:before="0" w:beforeAutospacing="0" w:after="0" w:afterAutospacing="0" w:line="480" w:lineRule="auto"/>
        <w:jc w:val="both"/>
      </w:pPr>
    </w:p>
    <w:p w:rsidR="006D1755" w:rsidRPr="00392AC9" w:rsidRDefault="006D1755" w:rsidP="00392AC9">
      <w:pPr>
        <w:spacing w:before="100" w:beforeAutospacing="1" w:after="100" w:afterAutospacing="1" w:line="240" w:lineRule="auto"/>
        <w:rPr>
          <w:rFonts w:ascii="Times New Roman" w:eastAsia="Times New Roman" w:hAnsi="Times New Roman" w:cs="Times New Roman"/>
          <w:sz w:val="24"/>
          <w:szCs w:val="24"/>
        </w:rPr>
      </w:pPr>
    </w:p>
    <w:sectPr w:rsidR="006D1755" w:rsidRPr="00392AC9">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127" w:rsidRDefault="00914127" w:rsidP="0065001D">
      <w:pPr>
        <w:spacing w:after="0" w:line="240" w:lineRule="auto"/>
      </w:pPr>
      <w:r>
        <w:separator/>
      </w:r>
    </w:p>
  </w:endnote>
  <w:endnote w:type="continuationSeparator" w:id="0">
    <w:p w:rsidR="00914127" w:rsidRDefault="00914127" w:rsidP="00650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1547801"/>
      <w:docPartObj>
        <w:docPartGallery w:val="Page Numbers (Bottom of Page)"/>
        <w:docPartUnique/>
      </w:docPartObj>
    </w:sdtPr>
    <w:sdtEndPr>
      <w:rPr>
        <w:noProof/>
      </w:rPr>
    </w:sdtEndPr>
    <w:sdtContent>
      <w:p w:rsidR="0065001D" w:rsidRDefault="0065001D">
        <w:pPr>
          <w:pStyle w:val="Footer"/>
          <w:jc w:val="right"/>
        </w:pPr>
        <w:r>
          <w:fldChar w:fldCharType="begin"/>
        </w:r>
        <w:r>
          <w:instrText xml:space="preserve"> PAGE   \* MERGEFORMAT </w:instrText>
        </w:r>
        <w:r>
          <w:fldChar w:fldCharType="separate"/>
        </w:r>
        <w:r w:rsidR="009D4971">
          <w:rPr>
            <w:noProof/>
          </w:rPr>
          <w:t>25</w:t>
        </w:r>
        <w:r>
          <w:rPr>
            <w:noProof/>
          </w:rPr>
          <w:fldChar w:fldCharType="end"/>
        </w:r>
      </w:p>
    </w:sdtContent>
  </w:sdt>
  <w:p w:rsidR="0065001D" w:rsidRDefault="0065001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127" w:rsidRDefault="00914127" w:rsidP="0065001D">
      <w:pPr>
        <w:spacing w:after="0" w:line="240" w:lineRule="auto"/>
      </w:pPr>
      <w:r>
        <w:separator/>
      </w:r>
    </w:p>
  </w:footnote>
  <w:footnote w:type="continuationSeparator" w:id="0">
    <w:p w:rsidR="00914127" w:rsidRDefault="00914127" w:rsidP="0065001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rect id="_x0000_i1030" style="width:0;height:1.5pt" o:hralign="center" o:bullet="t" o:hrstd="t" o:hr="t" fillcolor="#a0a0a0" stroked="f"/>
    </w:pict>
  </w:numPicBullet>
  <w:numPicBullet w:numPicBulletId="1">
    <w:pict>
      <v:rect id="_x0000_i1031" style="width:0;height:1.5pt" o:hralign="center" o:bullet="t" o:hrstd="t" o:hr="t" fillcolor="#a0a0a0" stroked="f"/>
    </w:pict>
  </w:numPicBullet>
  <w:abstractNum w:abstractNumId="0" w15:restartNumberingAfterBreak="0">
    <w:nsid w:val="014B3C95"/>
    <w:multiLevelType w:val="multilevel"/>
    <w:tmpl w:val="D64A4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86229B"/>
    <w:multiLevelType w:val="multilevel"/>
    <w:tmpl w:val="BC720FCE"/>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C3CBD"/>
    <w:multiLevelType w:val="multilevel"/>
    <w:tmpl w:val="B39AA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C325C1"/>
    <w:multiLevelType w:val="multilevel"/>
    <w:tmpl w:val="4BC4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AC485A"/>
    <w:multiLevelType w:val="multilevel"/>
    <w:tmpl w:val="E9A293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4328E6"/>
    <w:multiLevelType w:val="multilevel"/>
    <w:tmpl w:val="6A18B1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93"/>
    <w:rsid w:val="000120B5"/>
    <w:rsid w:val="0005675D"/>
    <w:rsid w:val="00110B5B"/>
    <w:rsid w:val="00134260"/>
    <w:rsid w:val="001374B3"/>
    <w:rsid w:val="0015241A"/>
    <w:rsid w:val="001674C6"/>
    <w:rsid w:val="0026767C"/>
    <w:rsid w:val="002823D2"/>
    <w:rsid w:val="002935D0"/>
    <w:rsid w:val="002C2E5A"/>
    <w:rsid w:val="003561D6"/>
    <w:rsid w:val="00392AC9"/>
    <w:rsid w:val="003C4006"/>
    <w:rsid w:val="004117C5"/>
    <w:rsid w:val="005162E7"/>
    <w:rsid w:val="00570CFE"/>
    <w:rsid w:val="0058759C"/>
    <w:rsid w:val="005D4793"/>
    <w:rsid w:val="005F56E4"/>
    <w:rsid w:val="00604813"/>
    <w:rsid w:val="0065001D"/>
    <w:rsid w:val="006D1755"/>
    <w:rsid w:val="007211A4"/>
    <w:rsid w:val="0075430F"/>
    <w:rsid w:val="00792218"/>
    <w:rsid w:val="00793115"/>
    <w:rsid w:val="00816537"/>
    <w:rsid w:val="00832B7B"/>
    <w:rsid w:val="00841285"/>
    <w:rsid w:val="008416A8"/>
    <w:rsid w:val="00875100"/>
    <w:rsid w:val="00914127"/>
    <w:rsid w:val="009D4971"/>
    <w:rsid w:val="00AC1DCE"/>
    <w:rsid w:val="00B620BC"/>
    <w:rsid w:val="00B7624E"/>
    <w:rsid w:val="00C0763A"/>
    <w:rsid w:val="00C170D9"/>
    <w:rsid w:val="00D64FC4"/>
    <w:rsid w:val="00DA4E64"/>
    <w:rsid w:val="00DB2A42"/>
    <w:rsid w:val="00DC4307"/>
    <w:rsid w:val="00DE4C50"/>
    <w:rsid w:val="00E4630F"/>
    <w:rsid w:val="00ED0D30"/>
    <w:rsid w:val="00F36D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2EFF8"/>
  <w15:chartTrackingRefBased/>
  <w15:docId w15:val="{1A774441-F556-4A00-8662-D28839131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5D479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D479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5D479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79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D4793"/>
    <w:rPr>
      <w:rFonts w:ascii="Times New Roman" w:eastAsia="Times New Roman" w:hAnsi="Times New Roman" w:cs="Times New Roman"/>
      <w:b/>
      <w:bCs/>
      <w:sz w:val="36"/>
      <w:szCs w:val="36"/>
    </w:rPr>
  </w:style>
  <w:style w:type="paragraph" w:styleId="NormalWeb">
    <w:name w:val="Normal (Web)"/>
    <w:basedOn w:val="Normal"/>
    <w:uiPriority w:val="99"/>
    <w:unhideWhenUsed/>
    <w:rsid w:val="005D479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D4793"/>
    <w:rPr>
      <w:b/>
      <w:bCs/>
    </w:rPr>
  </w:style>
  <w:style w:type="character" w:styleId="Emphasis">
    <w:name w:val="Emphasis"/>
    <w:basedOn w:val="DefaultParagraphFont"/>
    <w:uiPriority w:val="20"/>
    <w:qFormat/>
    <w:rsid w:val="005D4793"/>
    <w:rPr>
      <w:i/>
      <w:iCs/>
    </w:rPr>
  </w:style>
  <w:style w:type="character" w:styleId="Hyperlink">
    <w:name w:val="Hyperlink"/>
    <w:basedOn w:val="DefaultParagraphFont"/>
    <w:uiPriority w:val="99"/>
    <w:unhideWhenUsed/>
    <w:rsid w:val="005D4793"/>
    <w:rPr>
      <w:color w:val="0000FF"/>
      <w:u w:val="single"/>
    </w:rPr>
  </w:style>
  <w:style w:type="character" w:customStyle="1" w:styleId="Heading3Char">
    <w:name w:val="Heading 3 Char"/>
    <w:basedOn w:val="DefaultParagraphFont"/>
    <w:link w:val="Heading3"/>
    <w:uiPriority w:val="9"/>
    <w:semiHidden/>
    <w:rsid w:val="005D479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875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0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001D"/>
  </w:style>
  <w:style w:type="paragraph" w:styleId="Footer">
    <w:name w:val="footer"/>
    <w:basedOn w:val="Normal"/>
    <w:link w:val="FooterChar"/>
    <w:uiPriority w:val="99"/>
    <w:unhideWhenUsed/>
    <w:rsid w:val="00650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001D"/>
  </w:style>
  <w:style w:type="paragraph" w:styleId="Caption">
    <w:name w:val="caption"/>
    <w:basedOn w:val="Normal"/>
    <w:next w:val="Normal"/>
    <w:uiPriority w:val="35"/>
    <w:unhideWhenUsed/>
    <w:qFormat/>
    <w:rsid w:val="001674C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668258">
      <w:bodyDiv w:val="1"/>
      <w:marLeft w:val="0"/>
      <w:marRight w:val="0"/>
      <w:marTop w:val="0"/>
      <w:marBottom w:val="0"/>
      <w:divBdr>
        <w:top w:val="none" w:sz="0" w:space="0" w:color="auto"/>
        <w:left w:val="none" w:sz="0" w:space="0" w:color="auto"/>
        <w:bottom w:val="none" w:sz="0" w:space="0" w:color="auto"/>
        <w:right w:val="none" w:sz="0" w:space="0" w:color="auto"/>
      </w:divBdr>
    </w:div>
    <w:div w:id="133565047">
      <w:bodyDiv w:val="1"/>
      <w:marLeft w:val="0"/>
      <w:marRight w:val="0"/>
      <w:marTop w:val="0"/>
      <w:marBottom w:val="0"/>
      <w:divBdr>
        <w:top w:val="none" w:sz="0" w:space="0" w:color="auto"/>
        <w:left w:val="none" w:sz="0" w:space="0" w:color="auto"/>
        <w:bottom w:val="none" w:sz="0" w:space="0" w:color="auto"/>
        <w:right w:val="none" w:sz="0" w:space="0" w:color="auto"/>
      </w:divBdr>
    </w:div>
    <w:div w:id="379014960">
      <w:bodyDiv w:val="1"/>
      <w:marLeft w:val="0"/>
      <w:marRight w:val="0"/>
      <w:marTop w:val="0"/>
      <w:marBottom w:val="0"/>
      <w:divBdr>
        <w:top w:val="none" w:sz="0" w:space="0" w:color="auto"/>
        <w:left w:val="none" w:sz="0" w:space="0" w:color="auto"/>
        <w:bottom w:val="none" w:sz="0" w:space="0" w:color="auto"/>
        <w:right w:val="none" w:sz="0" w:space="0" w:color="auto"/>
      </w:divBdr>
    </w:div>
    <w:div w:id="641887330">
      <w:bodyDiv w:val="1"/>
      <w:marLeft w:val="0"/>
      <w:marRight w:val="0"/>
      <w:marTop w:val="0"/>
      <w:marBottom w:val="0"/>
      <w:divBdr>
        <w:top w:val="none" w:sz="0" w:space="0" w:color="auto"/>
        <w:left w:val="none" w:sz="0" w:space="0" w:color="auto"/>
        <w:bottom w:val="none" w:sz="0" w:space="0" w:color="auto"/>
        <w:right w:val="none" w:sz="0" w:space="0" w:color="auto"/>
      </w:divBdr>
    </w:div>
    <w:div w:id="672607386">
      <w:bodyDiv w:val="1"/>
      <w:marLeft w:val="0"/>
      <w:marRight w:val="0"/>
      <w:marTop w:val="0"/>
      <w:marBottom w:val="0"/>
      <w:divBdr>
        <w:top w:val="none" w:sz="0" w:space="0" w:color="auto"/>
        <w:left w:val="none" w:sz="0" w:space="0" w:color="auto"/>
        <w:bottom w:val="none" w:sz="0" w:space="0" w:color="auto"/>
        <w:right w:val="none" w:sz="0" w:space="0" w:color="auto"/>
      </w:divBdr>
    </w:div>
    <w:div w:id="742989891">
      <w:bodyDiv w:val="1"/>
      <w:marLeft w:val="0"/>
      <w:marRight w:val="0"/>
      <w:marTop w:val="0"/>
      <w:marBottom w:val="0"/>
      <w:divBdr>
        <w:top w:val="none" w:sz="0" w:space="0" w:color="auto"/>
        <w:left w:val="none" w:sz="0" w:space="0" w:color="auto"/>
        <w:bottom w:val="none" w:sz="0" w:space="0" w:color="auto"/>
        <w:right w:val="none" w:sz="0" w:space="0" w:color="auto"/>
      </w:divBdr>
    </w:div>
    <w:div w:id="751389752">
      <w:bodyDiv w:val="1"/>
      <w:marLeft w:val="0"/>
      <w:marRight w:val="0"/>
      <w:marTop w:val="0"/>
      <w:marBottom w:val="0"/>
      <w:divBdr>
        <w:top w:val="none" w:sz="0" w:space="0" w:color="auto"/>
        <w:left w:val="none" w:sz="0" w:space="0" w:color="auto"/>
        <w:bottom w:val="none" w:sz="0" w:space="0" w:color="auto"/>
        <w:right w:val="none" w:sz="0" w:space="0" w:color="auto"/>
      </w:divBdr>
    </w:div>
    <w:div w:id="959531728">
      <w:bodyDiv w:val="1"/>
      <w:marLeft w:val="0"/>
      <w:marRight w:val="0"/>
      <w:marTop w:val="0"/>
      <w:marBottom w:val="0"/>
      <w:divBdr>
        <w:top w:val="none" w:sz="0" w:space="0" w:color="auto"/>
        <w:left w:val="none" w:sz="0" w:space="0" w:color="auto"/>
        <w:bottom w:val="none" w:sz="0" w:space="0" w:color="auto"/>
        <w:right w:val="none" w:sz="0" w:space="0" w:color="auto"/>
      </w:divBdr>
    </w:div>
    <w:div w:id="988552656">
      <w:bodyDiv w:val="1"/>
      <w:marLeft w:val="0"/>
      <w:marRight w:val="0"/>
      <w:marTop w:val="0"/>
      <w:marBottom w:val="0"/>
      <w:divBdr>
        <w:top w:val="none" w:sz="0" w:space="0" w:color="auto"/>
        <w:left w:val="none" w:sz="0" w:space="0" w:color="auto"/>
        <w:bottom w:val="none" w:sz="0" w:space="0" w:color="auto"/>
        <w:right w:val="none" w:sz="0" w:space="0" w:color="auto"/>
      </w:divBdr>
    </w:div>
    <w:div w:id="1336497517">
      <w:bodyDiv w:val="1"/>
      <w:marLeft w:val="0"/>
      <w:marRight w:val="0"/>
      <w:marTop w:val="0"/>
      <w:marBottom w:val="0"/>
      <w:divBdr>
        <w:top w:val="none" w:sz="0" w:space="0" w:color="auto"/>
        <w:left w:val="none" w:sz="0" w:space="0" w:color="auto"/>
        <w:bottom w:val="none" w:sz="0" w:space="0" w:color="auto"/>
        <w:right w:val="none" w:sz="0" w:space="0" w:color="auto"/>
      </w:divBdr>
    </w:div>
    <w:div w:id="1822892977">
      <w:bodyDiv w:val="1"/>
      <w:marLeft w:val="0"/>
      <w:marRight w:val="0"/>
      <w:marTop w:val="0"/>
      <w:marBottom w:val="0"/>
      <w:divBdr>
        <w:top w:val="none" w:sz="0" w:space="0" w:color="auto"/>
        <w:left w:val="none" w:sz="0" w:space="0" w:color="auto"/>
        <w:bottom w:val="none" w:sz="0" w:space="0" w:color="auto"/>
        <w:right w:val="none" w:sz="0" w:space="0" w:color="auto"/>
      </w:divBdr>
    </w:div>
    <w:div w:id="1879850629">
      <w:bodyDiv w:val="1"/>
      <w:marLeft w:val="0"/>
      <w:marRight w:val="0"/>
      <w:marTop w:val="0"/>
      <w:marBottom w:val="0"/>
      <w:divBdr>
        <w:top w:val="none" w:sz="0" w:space="0" w:color="auto"/>
        <w:left w:val="none" w:sz="0" w:space="0" w:color="auto"/>
        <w:bottom w:val="none" w:sz="0" w:space="0" w:color="auto"/>
        <w:right w:val="none" w:sz="0" w:space="0" w:color="auto"/>
      </w:divBdr>
    </w:div>
    <w:div w:id="206571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researchgate.net/publication/389127455" TargetMode="External"/><Relationship Id="rId18" Type="http://schemas.openxmlformats.org/officeDocument/2006/relationships/hyperlink" Target="https://www.unicef.org/nigeria/stories/covid-19-design-challenge-young-nigerians-develop-solutions-their-countrys-problems" TargetMode="External"/><Relationship Id="rId3" Type="http://schemas.openxmlformats.org/officeDocument/2006/relationships/settings" Target="settings.xml"/><Relationship Id="rId21" Type="http://schemas.openxmlformats.org/officeDocument/2006/relationships/hyperlink" Target="https://ajet.org.au/index.php/AJET/article/download/9993/2180/34010" TargetMode="External"/><Relationship Id="rId7" Type="http://schemas.openxmlformats.org/officeDocument/2006/relationships/image" Target="media/image1.png"/><Relationship Id="rId12" Type="http://schemas.openxmlformats.org/officeDocument/2006/relationships/hyperlink" Target="https://files.eric.ed.gov/fulltext/EJ1105224.pdf" TargetMode="External"/><Relationship Id="rId17" Type="http://schemas.openxmlformats.org/officeDocument/2006/relationships/hyperlink" Target="https://www.unicef.org/reports/digital-civic-engagement-young-people-2020" TargetMode="External"/><Relationship Id="rId2" Type="http://schemas.openxmlformats.org/officeDocument/2006/relationships/styles" Target="styles.xml"/><Relationship Id="rId16" Type="http://schemas.openxmlformats.org/officeDocument/2006/relationships/hyperlink" Target="https://ijitie.aitie.org.ng/index.php/ijitie/article/download/269/162/767" TargetMode="External"/><Relationship Id="rId20" Type="http://schemas.openxmlformats.org/officeDocument/2006/relationships/hyperlink" Target="https://www.wired.com/story/four-people-tweeting-nigeria-politics-peter-ob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bi.nlm.nih.gov/pmc/articles/PMC843575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eenvogue.com/story/young-people-nigeria-corruption-police-brutality" TargetMode="External"/><Relationship Id="rId23" Type="http://schemas.openxmlformats.org/officeDocument/2006/relationships/fontTable" Target="fontTable.xml"/><Relationship Id="rId10" Type="http://schemas.openxmlformats.org/officeDocument/2006/relationships/hyperlink" Target="https://e-journal.unair.ac.id/MKP/article/download/63611/31101/363585" TargetMode="External"/><Relationship Id="rId19" Type="http://schemas.openxmlformats.org/officeDocument/2006/relationships/hyperlink" Target="https://www.unicef.org/nigeria/stories/connecting-every-child-digital-learnin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restlessdevelopment.org/wp-content/uploads/2024/07/Civic-Tech-Tools-and-Youths-Participation-in-Elections-in-Nigeria-Accountability-1.pdf"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25</Pages>
  <Words>6880</Words>
  <Characters>39219</Characters>
  <Application>Microsoft Office Word</Application>
  <DocSecurity>0</DocSecurity>
  <Lines>326</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2026-05-26T10:08:00Z</dcterms:created>
  <dcterms:modified xsi:type="dcterms:W3CDTF">2026-05-27T09:21:00Z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fca23512-90c8-4e9d-a53c-6d1f5aea5069</vt:lpwstr>
  </property>
</Properties>
</file>