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7E9734">
      <w:pPr>
        <w:pStyle w:val="9"/>
        <w:keepNext w:val="0"/>
        <w:keepLines w:val="0"/>
        <w:widowControl/>
        <w:suppressLineNumbers w:val="0"/>
        <w:spacing w:before="0" w:beforeAutospacing="0" w:line="240" w:lineRule="auto"/>
        <w:jc w:val="center"/>
        <w:rPr>
          <w:rFonts w:hint="default" w:ascii="Times New Roman" w:hAnsi="Times New Roman" w:eastAsia="sans-serif" w:cs="Times New Roman"/>
          <w:b/>
          <w:bCs/>
          <w:sz w:val="24"/>
          <w:szCs w:val="24"/>
        </w:rPr>
      </w:pPr>
      <w:r>
        <w:rPr>
          <w:rFonts w:hint="default" w:ascii="Times New Roman" w:hAnsi="Times New Roman" w:eastAsia="sans-serif" w:cs="Times New Roman"/>
          <w:b/>
          <w:bCs/>
          <w:sz w:val="24"/>
          <w:szCs w:val="24"/>
        </w:rPr>
        <w:t>Title:</w:t>
      </w:r>
      <w:r>
        <w:rPr>
          <w:rFonts w:hint="default" w:ascii="Times New Roman" w:hAnsi="Times New Roman" w:eastAsia="sans-serif" w:cs="Times New Roman"/>
          <w:sz w:val="24"/>
          <w:szCs w:val="24"/>
        </w:rPr>
        <w:t xml:space="preserve"> </w:t>
      </w:r>
      <w:r>
        <w:rPr>
          <w:rFonts w:hint="default" w:ascii="Times New Roman" w:hAnsi="Times New Roman" w:eastAsia="sans-serif" w:cs="Times New Roman"/>
          <w:b/>
          <w:bCs/>
          <w:sz w:val="24"/>
          <w:szCs w:val="24"/>
        </w:rPr>
        <w:t>Bridging the Technological Dichotomy: A Mixed-Methods Analysis of Administrative and Pedagogical Readiness for Industry 4.0 in Nigerian TVET</w:t>
      </w:r>
    </w:p>
    <w:p w14:paraId="73B5407E">
      <w:pPr>
        <w:pStyle w:val="9"/>
        <w:keepNext w:val="0"/>
        <w:keepLines w:val="0"/>
        <w:widowControl/>
        <w:suppressLineNumbers w:val="0"/>
        <w:spacing w:before="0" w:beforeAutospacing="0" w:line="240" w:lineRule="auto"/>
        <w:jc w:val="center"/>
        <w:rPr>
          <w:rFonts w:hint="default" w:ascii="Times New Roman" w:hAnsi="Times New Roman" w:eastAsia="sans-serif" w:cs="Times New Roman"/>
          <w:b w:val="0"/>
          <w:bCs w:val="0"/>
          <w:sz w:val="24"/>
          <w:szCs w:val="24"/>
          <w:lang w:val="en-US"/>
        </w:rPr>
      </w:pPr>
      <w:r>
        <w:rPr>
          <w:rFonts w:hint="default" w:ascii="Times New Roman" w:hAnsi="Times New Roman" w:eastAsia="sans-serif" w:cs="Times New Roman"/>
          <w:b w:val="0"/>
          <w:bCs w:val="0"/>
          <w:sz w:val="24"/>
          <w:szCs w:val="24"/>
          <w:lang w:val="en-US"/>
        </w:rPr>
        <w:t>Author: Mack, Barnabas</w:t>
      </w:r>
    </w:p>
    <w:p w14:paraId="70DED96E">
      <w:pPr>
        <w:pStyle w:val="9"/>
        <w:keepNext w:val="0"/>
        <w:keepLines w:val="0"/>
        <w:widowControl/>
        <w:suppressLineNumbers w:val="0"/>
        <w:spacing w:before="0" w:beforeAutospacing="0" w:line="240" w:lineRule="auto"/>
        <w:jc w:val="center"/>
        <w:rPr>
          <w:rFonts w:hint="default" w:ascii="Times New Roman" w:hAnsi="Times New Roman" w:eastAsia="sans-serif" w:cs="Times New Roman"/>
          <w:b w:val="0"/>
          <w:bCs w:val="0"/>
          <w:sz w:val="24"/>
          <w:szCs w:val="24"/>
          <w:lang w:val="en-US"/>
        </w:rPr>
      </w:pPr>
      <w:r>
        <w:rPr>
          <w:rFonts w:hint="default" w:ascii="Times New Roman" w:hAnsi="Times New Roman" w:eastAsia="sans-serif" w:cs="Times New Roman"/>
          <w:b w:val="0"/>
          <w:bCs w:val="0"/>
          <w:sz w:val="24"/>
          <w:szCs w:val="24"/>
          <w:lang w:val="en-US"/>
        </w:rPr>
        <w:t>Affiliation: University of Nigeria</w:t>
      </w:r>
    </w:p>
    <w:p w14:paraId="7EE31506">
      <w:pPr>
        <w:pStyle w:val="9"/>
        <w:keepNext w:val="0"/>
        <w:keepLines w:val="0"/>
        <w:widowControl/>
        <w:suppressLineNumbers w:val="0"/>
        <w:spacing w:before="0" w:beforeAutospacing="0" w:line="240" w:lineRule="auto"/>
        <w:jc w:val="center"/>
        <w:rPr>
          <w:rFonts w:hint="default" w:ascii="Times New Roman" w:hAnsi="Times New Roman" w:eastAsia="sans-serif" w:cs="Times New Roman"/>
          <w:b/>
          <w:bCs/>
          <w:sz w:val="24"/>
          <w:szCs w:val="24"/>
          <w:lang w:val="en-US"/>
        </w:rPr>
      </w:pPr>
      <w:r>
        <w:rPr>
          <w:rFonts w:hint="default" w:ascii="Times New Roman" w:hAnsi="Times New Roman" w:eastAsia="sans-serif" w:cs="Times New Roman"/>
          <w:b w:val="0"/>
          <w:bCs w:val="0"/>
          <w:sz w:val="24"/>
          <w:szCs w:val="24"/>
          <w:lang w:val="en-US"/>
        </w:rPr>
        <w:t>Email: mackbee.mb</w:t>
      </w:r>
      <w:bookmarkStart w:id="0" w:name="_GoBack"/>
      <w:bookmarkEnd w:id="0"/>
      <w:r>
        <w:rPr>
          <w:rFonts w:hint="default" w:ascii="Times New Roman" w:hAnsi="Times New Roman" w:eastAsia="sans-serif" w:cs="Times New Roman"/>
          <w:b w:val="0"/>
          <w:bCs w:val="0"/>
          <w:sz w:val="24"/>
          <w:szCs w:val="24"/>
          <w:lang w:val="en-US"/>
        </w:rPr>
        <w:t>@gmail.com</w:t>
      </w:r>
    </w:p>
    <w:p w14:paraId="787992D5">
      <w:pPr>
        <w:pStyle w:val="9"/>
        <w:keepNext w:val="0"/>
        <w:keepLines w:val="0"/>
        <w:widowControl/>
        <w:suppressLineNumbers w:val="0"/>
        <w:spacing w:before="0" w:beforeAutospacing="0" w:line="12" w:lineRule="atLeast"/>
        <w:jc w:val="both"/>
        <w:rPr>
          <w:rFonts w:hint="default" w:ascii="Times New Roman" w:hAnsi="Times New Roman" w:eastAsia="sans-serif" w:cs="Times New Roman"/>
          <w:b/>
          <w:bCs/>
          <w:sz w:val="24"/>
          <w:szCs w:val="24"/>
          <w:lang w:val="en-US"/>
        </w:rPr>
      </w:pPr>
      <w:r>
        <w:rPr>
          <w:rFonts w:hint="default" w:ascii="Times New Roman" w:hAnsi="Times New Roman" w:eastAsia="sans-serif" w:cs="Times New Roman"/>
          <w:b/>
          <w:bCs/>
          <w:sz w:val="24"/>
          <w:szCs w:val="24"/>
          <w:lang w:val="en-US"/>
        </w:rPr>
        <w:t>Abstract</w:t>
      </w:r>
    </w:p>
    <w:p w14:paraId="316C435C">
      <w:pPr>
        <w:pStyle w:val="9"/>
        <w:keepNext w:val="0"/>
        <w:keepLines w:val="0"/>
        <w:widowControl/>
        <w:suppressLineNumbers w:val="0"/>
        <w:spacing w:before="0" w:beforeAutospacing="0" w:line="360" w:lineRule="auto"/>
        <w:jc w:val="both"/>
        <w:rPr>
          <w:rFonts w:hint="default" w:ascii="Times New Roman" w:hAnsi="Times New Roman" w:eastAsia="sans-serif" w:cs="Times New Roman"/>
          <w:sz w:val="24"/>
          <w:szCs w:val="24"/>
        </w:rPr>
      </w:pPr>
      <w:r>
        <w:rPr>
          <w:rFonts w:hint="default" w:ascii="Times New Roman" w:hAnsi="Times New Roman" w:eastAsia="sans-serif" w:cs="Times New Roman"/>
          <w:sz w:val="24"/>
          <w:szCs w:val="24"/>
        </w:rPr>
        <w:t>As the global industrial landscape transitions toward cyber-physical systems, Technical and Vocational Education and Training (TVET) systems in developing economies face a widening "technological dichotomy." This study investigates the systemic predictors of institutional preparedness for Industry 4.0 within the Nigerian TVET ecosystem. Adopting a sequential exploratory mixed-methods research design, the study first engaged in thematic analysis of semi-structured interviews with technical educators (n=</w:t>
      </w:r>
      <w:r>
        <w:rPr>
          <w:rFonts w:hint="default" w:ascii="Times New Roman" w:hAnsi="Times New Roman" w:eastAsia="sans-serif" w:cs="Times New Roman"/>
          <w:sz w:val="24"/>
          <w:szCs w:val="24"/>
          <w:lang w:val="en-US"/>
        </w:rPr>
        <w:t>24</w:t>
      </w:r>
      <w:r>
        <w:rPr>
          <w:rFonts w:hint="default" w:ascii="Times New Roman" w:hAnsi="Times New Roman" w:eastAsia="sans-serif" w:cs="Times New Roman"/>
          <w:sz w:val="24"/>
          <w:szCs w:val="24"/>
        </w:rPr>
        <w:t xml:space="preserve">), revealing six critical themes: </w:t>
      </w:r>
      <w:r>
        <w:rPr>
          <w:rFonts w:hint="default" w:ascii="Times New Roman" w:hAnsi="Times New Roman" w:eastAsia="SimSun" w:cs="Times New Roman"/>
          <w:sz w:val="24"/>
          <w:szCs w:val="24"/>
        </w:rPr>
        <w:t>Technological Dichotomy, Digital Competency Gaps, Infrastructural and Financial Deficits, Administrative and Policy Inertia, Psychological Barriers, and Industry-Education Synergy</w:t>
      </w:r>
      <w:r>
        <w:rPr>
          <w:rFonts w:hint="default" w:ascii="Times New Roman" w:hAnsi="Times New Roman" w:eastAsia="sans-serif" w:cs="Times New Roman"/>
          <w:sz w:val="24"/>
          <w:szCs w:val="24"/>
        </w:rPr>
        <w:t>. These qualitative insights informed the development of a quantitative survey administered to TVET educators (n=1</w:t>
      </w:r>
      <w:r>
        <w:rPr>
          <w:rFonts w:hint="default" w:ascii="Times New Roman" w:hAnsi="Times New Roman" w:eastAsia="sans-serif" w:cs="Times New Roman"/>
          <w:sz w:val="24"/>
          <w:szCs w:val="24"/>
          <w:lang w:val="en-US"/>
        </w:rPr>
        <w:t>5</w:t>
      </w:r>
      <w:r>
        <w:rPr>
          <w:rFonts w:hint="default" w:ascii="Times New Roman" w:hAnsi="Times New Roman" w:eastAsia="sans-serif" w:cs="Times New Roman"/>
          <w:sz w:val="24"/>
          <w:szCs w:val="24"/>
        </w:rPr>
        <w:t>0).</w:t>
      </w:r>
      <w:r>
        <w:rPr>
          <w:rFonts w:hint="default" w:ascii="Times New Roman" w:hAnsi="Times New Roman" w:eastAsia="sans-serif" w:cs="Times New Roman"/>
          <w:sz w:val="24"/>
          <w:szCs w:val="24"/>
          <w:lang w:val="en-US"/>
        </w:rPr>
        <w:t xml:space="preserve"> </w:t>
      </w:r>
      <w:r>
        <w:rPr>
          <w:rFonts w:hint="default" w:ascii="Times New Roman" w:hAnsi="Times New Roman" w:eastAsia="sans-serif" w:cs="Times New Roman"/>
          <w:sz w:val="24"/>
          <w:szCs w:val="24"/>
        </w:rPr>
        <w:t>Drawing on the Technology Acceptance Model (TAM) and Constructivist Theory, the quantitative results were analyzed using multiple regression and Pearson correlation. The findings indicate that the proposed model explains 81.4</w:t>
      </w:r>
      <w:r>
        <w:rPr>
          <w:rFonts w:hint="default" w:ascii="Times New Roman" w:hAnsi="Times New Roman" w:eastAsia="sans-serif" w:cs="Times New Roman"/>
          <w:sz w:val="24"/>
          <w:szCs w:val="24"/>
          <w:lang w:val="en-US"/>
        </w:rPr>
        <w:t>%</w:t>
      </w:r>
      <w:r>
        <w:rPr>
          <w:rFonts w:hint="default" w:ascii="Times New Roman" w:hAnsi="Times New Roman" w:eastAsia="sans-serif" w:cs="Times New Roman"/>
          <w:sz w:val="24"/>
          <w:szCs w:val="24"/>
        </w:rPr>
        <w:t xml:space="preserve"> of the variance in Institutional Preparedness (R^2 = .814, p &lt; .001). Administrative Practices emerged as the most significant predictor of readiness (beta = .405), while a strong negative correlation (r = -.586) was observed between administrative agility and implementation barriers. These results suggest that the "sense of being lost" reported by educators is mitigated more effectively by leadership support than by hardware procurement alone. The study concludes by proposing the TVET Industry 4.0 Integration Model (TIIM), offering a validated roadmap for policy-driven digital transformation. This research provides a crucial framework for the National Board for Technical Education (NBTE) to bridge the gap between traditional pedagogy and the demands of the Fourth Industrial Revolution.</w:t>
      </w:r>
    </w:p>
    <w:p w14:paraId="32149D77">
      <w:pPr>
        <w:pStyle w:val="9"/>
        <w:keepNext w:val="0"/>
        <w:keepLines w:val="0"/>
        <w:widowControl/>
        <w:suppressLineNumbers w:val="0"/>
        <w:spacing w:before="0" w:beforeAutospacing="0" w:line="360" w:lineRule="auto"/>
        <w:jc w:val="both"/>
        <w:rPr>
          <w:rFonts w:ascii="Times New Roman" w:hAnsi="Times New Roman" w:eastAsia="Times New Roman" w:cs="Times New Roman"/>
          <w:b/>
          <w:bCs/>
          <w:kern w:val="0"/>
          <w:sz w:val="24"/>
          <w:szCs w:val="24"/>
        </w:rPr>
      </w:pPr>
      <w:r>
        <w:rPr>
          <w:rFonts w:hint="default" w:ascii="Times New Roman" w:hAnsi="Times New Roman" w:eastAsia="sans-serif" w:cs="Times New Roman"/>
          <w:b/>
          <w:bCs/>
          <w:sz w:val="24"/>
          <w:szCs w:val="24"/>
        </w:rPr>
        <w:t>Keywords:</w:t>
      </w:r>
      <w:r>
        <w:rPr>
          <w:rFonts w:hint="default" w:ascii="Times New Roman" w:hAnsi="Times New Roman" w:eastAsia="sans-serif" w:cs="Times New Roman"/>
          <w:sz w:val="24"/>
          <w:szCs w:val="24"/>
        </w:rPr>
        <w:t xml:space="preserve"> Industry 4.0, TVET, Technological Dichotomy, Administrative Practices, Nigeria, Institutional Preparedness, Mixed-Methods.</w:t>
      </w:r>
    </w:p>
    <w:p w14:paraId="065AD581">
      <w:pPr>
        <w:spacing w:before="100" w:beforeAutospacing="1" w:after="100" w:afterAutospacing="1" w:line="240" w:lineRule="auto"/>
        <w:jc w:val="both"/>
        <w:outlineLvl w:val="3"/>
        <w:rPr>
          <w:rFonts w:hint="default" w:ascii="Times New Roman" w:hAnsi="Times New Roman" w:eastAsia="Times New Roman" w:cs="Times New Roman"/>
          <w:b/>
          <w:bCs/>
          <w:kern w:val="0"/>
          <w:sz w:val="24"/>
          <w:szCs w:val="24"/>
          <w:lang w:val="en-US"/>
        </w:rPr>
      </w:pPr>
      <w:r>
        <w:rPr>
          <w:rFonts w:hint="default" w:ascii="Times New Roman" w:hAnsi="Times New Roman" w:eastAsia="Times New Roman" w:cs="Times New Roman"/>
          <w:b/>
          <w:bCs/>
          <w:kern w:val="0"/>
          <w:sz w:val="24"/>
          <w:szCs w:val="24"/>
          <w:lang w:val="en-US"/>
        </w:rPr>
        <w:t>Introduction</w:t>
      </w:r>
    </w:p>
    <w:p w14:paraId="7CDD1019">
      <w:pPr>
        <w:spacing w:before="100" w:beforeAutospacing="1" w:after="100" w:afterAutospacing="1" w:line="240" w:lineRule="auto"/>
        <w:jc w:val="both"/>
        <w:outlineLvl w:val="3"/>
        <w:rPr>
          <w:rFonts w:hint="default" w:ascii="Times New Roman" w:hAnsi="Times New Roman" w:eastAsia="Times New Roman" w:cs="Times New Roman"/>
          <w:b/>
          <w:bCs/>
          <w:kern w:val="0"/>
          <w:sz w:val="24"/>
          <w:szCs w:val="24"/>
        </w:rPr>
      </w:pPr>
      <w:r>
        <w:rPr>
          <w:rFonts w:hint="default" w:ascii="Times New Roman" w:hAnsi="Times New Roman" w:eastAsia="Times New Roman" w:cs="Times New Roman"/>
          <w:b/>
          <w:bCs/>
          <w:kern w:val="0"/>
          <w:sz w:val="24"/>
          <w:szCs w:val="24"/>
        </w:rPr>
        <w:t>The Emergence of Industry 4.0</w:t>
      </w:r>
    </w:p>
    <w:p w14:paraId="5BD6E991">
      <w:pPr>
        <w:spacing w:before="100" w:beforeAutospacing="1" w:after="100" w:afterAutospacing="1" w:line="360" w:lineRule="auto"/>
        <w:ind w:firstLine="480" w:firstLineChars="200"/>
        <w:jc w:val="both"/>
        <w:outlineLvl w:val="3"/>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 xml:space="preserve">The Fourth Industrial Revolution -  commonly referred to as </w:t>
      </w:r>
      <w:r>
        <w:rPr>
          <w:rFonts w:hint="default" w:ascii="Times New Roman" w:hAnsi="Times New Roman" w:eastAsia="Times New Roman" w:cs="Times New Roman"/>
          <w:i/>
          <w:iCs/>
          <w:kern w:val="0"/>
          <w:sz w:val="24"/>
          <w:szCs w:val="24"/>
        </w:rPr>
        <w:t>Industry 4.0</w:t>
      </w:r>
      <w:r>
        <w:rPr>
          <w:rFonts w:hint="default" w:ascii="Times New Roman" w:hAnsi="Times New Roman" w:eastAsia="Times New Roman" w:cs="Times New Roman"/>
          <w:kern w:val="0"/>
          <w:sz w:val="24"/>
          <w:szCs w:val="24"/>
        </w:rPr>
        <w:t xml:space="preserve"> - is radically transforming global production landscapes through the fusion of advanced digital technologies with traditional manufacturing systems. Characterized by the convergence of cyber-physical systems, the Internet of Things (IoT), artificial intelligence (AI), big data analytics, cloud computing, and advanced robotics, this revolution is reshaping the nature of work, industrial processes, and economic competitiveness (Schwab, 2017; Kagermann, 2015; Lasi et al., 2014).</w:t>
      </w:r>
    </w:p>
    <w:p w14:paraId="508B900F">
      <w:pPr>
        <w:spacing w:before="100" w:beforeAutospacing="1" w:after="100" w:afterAutospacing="1" w:line="24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drawing>
          <wp:inline distT="0" distB="0" distL="114300" distR="114300">
            <wp:extent cx="5266690" cy="2764790"/>
            <wp:effectExtent l="0" t="0" r="3810" b="3810"/>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6"/>
                    <a:stretch>
                      <a:fillRect/>
                    </a:stretch>
                  </pic:blipFill>
                  <pic:spPr>
                    <a:xfrm>
                      <a:off x="0" y="0"/>
                      <a:ext cx="5266690" cy="2764790"/>
                    </a:xfrm>
                    <a:prstGeom prst="rect">
                      <a:avLst/>
                    </a:prstGeom>
                    <a:noFill/>
                    <a:ln w="9525">
                      <a:noFill/>
                    </a:ln>
                  </pic:spPr>
                </pic:pic>
              </a:graphicData>
            </a:graphic>
          </wp:inline>
        </w:drawing>
      </w:r>
    </w:p>
    <w:p w14:paraId="17FB26E0">
      <w:pPr>
        <w:spacing w:before="100" w:beforeAutospacing="1" w:after="100" w:afterAutospacing="1" w:line="240" w:lineRule="auto"/>
        <w:jc w:val="center"/>
        <w:rPr>
          <w:rFonts w:hint="default" w:ascii="Times New Roman" w:hAnsi="Times New Roman" w:eastAsia="SimSun" w:cs="Times New Roman"/>
          <w:i/>
          <w:iCs/>
          <w:sz w:val="24"/>
          <w:szCs w:val="24"/>
        </w:rPr>
      </w:pPr>
      <w:r>
        <w:rPr>
          <w:rFonts w:hint="default" w:ascii="Sans Serif Collection" w:hAnsi="Sans Serif Collection" w:eastAsia="SimSun" w:cs="Sans Serif Collection"/>
          <w:b/>
          <w:bCs/>
          <w:sz w:val="24"/>
          <w:szCs w:val="24"/>
        </w:rPr>
        <w:t>Figure 1: Evolution of Industrial Revolutions.</w:t>
      </w:r>
      <w:r>
        <w:rPr>
          <w:rFonts w:hint="default" w:ascii="Times New Roman" w:hAnsi="Times New Roman" w:eastAsia="SimSun" w:cs="Times New Roman"/>
          <w:sz w:val="24"/>
          <w:szCs w:val="24"/>
        </w:rPr>
        <w:t xml:space="preserve"> </w:t>
      </w:r>
      <w:r>
        <w:rPr>
          <w:rFonts w:hint="default" w:ascii="Times New Roman" w:hAnsi="Times New Roman" w:eastAsia="SimSun" w:cs="Times New Roman"/>
          <w:i/>
          <w:iCs/>
          <w:sz w:val="24"/>
          <w:szCs w:val="24"/>
        </w:rPr>
        <w:t>Source: Adapted from Schwab (2017).</w:t>
      </w:r>
    </w:p>
    <w:p w14:paraId="498D861B">
      <w:pPr>
        <w:spacing w:before="100" w:beforeAutospacing="1" w:after="100" w:afterAutospacing="1" w:line="360" w:lineRule="auto"/>
        <w:ind w:firstLine="480" w:firstLineChars="2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As illustrated in Figure 1, the progression from steam-powered mechanization to cyber-physical integration has occurred at an exponential rate, leaving traditional vocational frameworks struggling to keep pace (Schwab, 2017).</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This timeline illustrates the transition from mechanical production to cyber-physical systems, highlighting the technological leap that has created the current dichotomy in TVET pedagogy.</w:t>
      </w:r>
    </w:p>
    <w:p w14:paraId="20AF65B3">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Industry 4.0 has already begun to drive unprecedented efficiencies and innovations across key sectors. In the automotive industry, for instance, firms like BMW and Tesla leverage AI and IoT for real-time diagnostics, predictive maintenance, and personalized production (Spath et al., 2013). In healthcare, AI platforms now enable personalized medicine and intelligent diagnostics (Topol, 2019). These examples underscore the urgent need for a digitally competent workforce able to navigate this rapidly evolving industrial terrain.</w:t>
      </w:r>
    </w:p>
    <w:p w14:paraId="4C367125">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The World Economic Forum (2018) estimates that by 2025, over 50% of workplace tasks will be automated, intensifying the demand for workers with advanced technological proficiency, critical thinking, and interdisciplinary problem-solving abilities. Consequently, the traditional skill sets offered by many educational systems - especially in technical and vocational education - are increasingly inadequate for modern labor market demands.</w:t>
      </w:r>
    </w:p>
    <w:p w14:paraId="38AF9D4D">
      <w:pPr>
        <w:spacing w:before="100" w:beforeAutospacing="1" w:after="100" w:afterAutospacing="1" w:line="240" w:lineRule="auto"/>
        <w:jc w:val="both"/>
        <w:outlineLvl w:val="3"/>
        <w:rPr>
          <w:rFonts w:hint="default" w:ascii="Times New Roman" w:hAnsi="Times New Roman" w:eastAsia="Times New Roman" w:cs="Times New Roman"/>
          <w:b/>
          <w:bCs/>
          <w:kern w:val="0"/>
          <w:sz w:val="24"/>
          <w:szCs w:val="24"/>
        </w:rPr>
      </w:pPr>
      <w:r>
        <w:rPr>
          <w:rFonts w:hint="default" w:ascii="Times New Roman" w:hAnsi="Times New Roman" w:eastAsia="Times New Roman" w:cs="Times New Roman"/>
          <w:b/>
          <w:bCs/>
          <w:kern w:val="0"/>
          <w:sz w:val="24"/>
          <w:szCs w:val="24"/>
        </w:rPr>
        <w:t>The Role of TVET in Industry 4.0</w:t>
      </w:r>
    </w:p>
    <w:p w14:paraId="2E80E247">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Technical and Vocational Education and Training (TVET) systems are central to equipping the workforce with skills aligned to technological change. Historically, TVET programs were designed to develop hands-on expertise in specific trades. However, the realities of Industry 4.0 now require a broader skillset</w:t>
      </w:r>
      <w:r>
        <w:rPr>
          <w:rFonts w:hint="default" w:ascii="Times New Roman" w:hAnsi="Times New Roman" w:eastAsia="Times New Roman" w:cs="Times New Roman"/>
          <w:kern w:val="0"/>
          <w:sz w:val="24"/>
          <w:szCs w:val="24"/>
          <w:lang w:val="en-US"/>
        </w:rPr>
        <w:t xml:space="preserve"> - </w:t>
      </w:r>
      <w:r>
        <w:rPr>
          <w:rFonts w:hint="default" w:ascii="Times New Roman" w:hAnsi="Times New Roman" w:eastAsia="Times New Roman" w:cs="Times New Roman"/>
          <w:kern w:val="0"/>
          <w:sz w:val="24"/>
          <w:szCs w:val="24"/>
        </w:rPr>
        <w:t>combining technical proficiency with digital literacy, adaptability, and the ability to engage with smart technologies (UNESCO-UNEVOC, 2019).</w:t>
      </w:r>
    </w:p>
    <w:p w14:paraId="44D9A95F">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Global exemplars such as Germany, South Korea, and Singapore have realigned their TVET systems to reflect this paradigm shift. These countries utilize dual training systems and industry-education partnerships to embed real-world experiences and technological exposure into technical education (Bahl, 2020; Kim, 2019). The results include higher youth employability, innovation capacity, and national competitiveness.</w:t>
      </w:r>
    </w:p>
    <w:p w14:paraId="0DE032C3">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 xml:space="preserve">Despite these successes, many TVET systems, particularly in developing countries, are lagging in the transition toward Industry 4.0 readiness. Outdated curricula, inadequate infrastructure, and weak links with industry persist as major barriers. This disconnect between what is taught in the classroom and what is needed in modern workplaces has led to a critical </w:t>
      </w:r>
      <w:r>
        <w:rPr>
          <w:rFonts w:hint="default" w:ascii="Times New Roman" w:hAnsi="Times New Roman" w:eastAsia="Times New Roman" w:cs="Times New Roman"/>
          <w:i/>
          <w:iCs/>
          <w:kern w:val="0"/>
          <w:sz w:val="24"/>
          <w:szCs w:val="24"/>
        </w:rPr>
        <w:t>skills mismatch</w:t>
      </w:r>
      <w:r>
        <w:rPr>
          <w:rFonts w:hint="default" w:ascii="Times New Roman" w:hAnsi="Times New Roman" w:eastAsia="Times New Roman" w:cs="Times New Roman"/>
          <w:kern w:val="0"/>
          <w:sz w:val="24"/>
          <w:szCs w:val="24"/>
        </w:rPr>
        <w:t xml:space="preserve"> (McKinsey Global Institute, 2017).</w:t>
      </w:r>
    </w:p>
    <w:p w14:paraId="5D0BAF11">
      <w:pPr>
        <w:spacing w:before="100" w:beforeAutospacing="1" w:after="100" w:afterAutospacing="1" w:line="360" w:lineRule="auto"/>
        <w:jc w:val="both"/>
        <w:outlineLvl w:val="3"/>
        <w:rPr>
          <w:rFonts w:hint="default" w:ascii="Times New Roman" w:hAnsi="Times New Roman" w:eastAsia="Times New Roman" w:cs="Times New Roman"/>
          <w:b/>
          <w:bCs/>
          <w:kern w:val="0"/>
          <w:sz w:val="24"/>
          <w:szCs w:val="24"/>
        </w:rPr>
      </w:pPr>
      <w:r>
        <w:rPr>
          <w:rFonts w:hint="default" w:ascii="Times New Roman" w:hAnsi="Times New Roman" w:eastAsia="Times New Roman" w:cs="Times New Roman"/>
          <w:b/>
          <w:bCs/>
          <w:kern w:val="0"/>
          <w:sz w:val="24"/>
          <w:szCs w:val="24"/>
        </w:rPr>
        <w:t>The Technological Dichotomy in TVET Systems</w:t>
      </w:r>
    </w:p>
    <w:p w14:paraId="0BBC6975">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 xml:space="preserve">This mismatch has given rise to what scholars describe as a </w:t>
      </w:r>
      <w:r>
        <w:rPr>
          <w:rFonts w:hint="default" w:ascii="Times New Roman" w:hAnsi="Times New Roman" w:eastAsia="Times New Roman" w:cs="Times New Roman"/>
          <w:b/>
          <w:bCs/>
          <w:kern w:val="0"/>
          <w:sz w:val="24"/>
          <w:szCs w:val="24"/>
        </w:rPr>
        <w:t>technological dichotomy</w:t>
      </w:r>
      <w:r>
        <w:rPr>
          <w:rFonts w:hint="default" w:ascii="Times New Roman" w:hAnsi="Times New Roman" w:eastAsia="Times New Roman" w:cs="Times New Roman"/>
          <w:kern w:val="0"/>
          <w:sz w:val="24"/>
          <w:szCs w:val="24"/>
        </w:rPr>
        <w:t xml:space="preserve"> - the widening gap between rapidly advancing industrial technologies and the slow pace of educational adaptation. In the context of TVET, this dichotomy manifests in outdated instructional materials, minimal exposure to digital tools, and limited training opportunities for educators (Rojko, 2017; ILO, 2019).</w:t>
      </w:r>
    </w:p>
    <w:p w14:paraId="3B399319">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Educators, who are key drivers of change in TVET, are often constrained by a lack of updated skills, particularly in emerging technologies such as IoT, AI, and smart manufacturing. Many possess strong trade-based technical knowledge but lack the pedagogical tools, digital fluency, or institutional support needed to teach Industry 4.0 concepts effectively (Chryssolouris et al., 2018; Liu et al., 2019).</w:t>
      </w:r>
    </w:p>
    <w:p w14:paraId="3C86D2C0">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Moreover, systemic factors - such as slow curriculum reform processes, funding limitations, and insufficient collaboration between TVET institutions and industries - further reinforce this technological gap. As a result, graduates emerge from TVET programs ill-equipped for modern job roles, exacerbating youth unemployment and undercutting national innovation agendas (Okolie et al., 2021; OECD, 2019).</w:t>
      </w:r>
    </w:p>
    <w:p w14:paraId="2D66A551">
      <w:pPr>
        <w:spacing w:before="100" w:beforeAutospacing="1" w:after="100" w:afterAutospacing="1" w:line="360" w:lineRule="auto"/>
        <w:jc w:val="both"/>
        <w:outlineLvl w:val="2"/>
        <w:rPr>
          <w:rFonts w:hint="default" w:ascii="Times New Roman" w:hAnsi="Times New Roman" w:eastAsia="Times New Roman" w:cs="Times New Roman"/>
          <w:b/>
          <w:bCs/>
          <w:kern w:val="0"/>
          <w:sz w:val="24"/>
          <w:szCs w:val="24"/>
        </w:rPr>
      </w:pPr>
      <w:r>
        <w:rPr>
          <w:rFonts w:hint="default" w:ascii="Times New Roman" w:hAnsi="Times New Roman" w:eastAsia="Times New Roman" w:cs="Times New Roman"/>
          <w:b/>
          <w:bCs/>
          <w:kern w:val="0"/>
          <w:sz w:val="24"/>
          <w:szCs w:val="24"/>
        </w:rPr>
        <w:t>Problem Statement</w:t>
      </w:r>
    </w:p>
    <w:p w14:paraId="662F4E0D">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Given the fast-paced technological changes brought about by Industry 4.0, the capacity of TVET institutions to prepare a workforce for the future hinges significantly on the readiness and competencies of their educators. However, empirical evidence suggests that many TVET educators</w:t>
      </w:r>
      <w:r>
        <w:rPr>
          <w:rFonts w:hint="default" w:ascii="Times New Roman" w:hAnsi="Times New Roman" w:eastAsia="Times New Roman" w:cs="Times New Roman"/>
          <w:kern w:val="0"/>
          <w:sz w:val="24"/>
          <w:szCs w:val="24"/>
          <w:lang w:val="en-US"/>
        </w:rPr>
        <w:t xml:space="preserve"> - </w:t>
      </w:r>
      <w:r>
        <w:rPr>
          <w:rFonts w:hint="default" w:ascii="Times New Roman" w:hAnsi="Times New Roman" w:eastAsia="Times New Roman" w:cs="Times New Roman"/>
          <w:kern w:val="0"/>
          <w:sz w:val="24"/>
          <w:szCs w:val="24"/>
        </w:rPr>
        <w:t>particularly in developing contexts like Nigeria</w:t>
      </w:r>
      <w:r>
        <w:rPr>
          <w:rFonts w:hint="default" w:ascii="Times New Roman" w:hAnsi="Times New Roman" w:eastAsia="Times New Roman" w:cs="Times New Roman"/>
          <w:kern w:val="0"/>
          <w:sz w:val="24"/>
          <w:szCs w:val="24"/>
          <w:lang w:val="en-US"/>
        </w:rPr>
        <w:t xml:space="preserve"> - </w:t>
      </w:r>
      <w:r>
        <w:rPr>
          <w:rFonts w:hint="default" w:ascii="Times New Roman" w:hAnsi="Times New Roman" w:eastAsia="Times New Roman" w:cs="Times New Roman"/>
          <w:kern w:val="0"/>
          <w:sz w:val="24"/>
          <w:szCs w:val="24"/>
        </w:rPr>
        <w:t>face serious limitations in digital literacy, instructional design for emerging technologies, and interdisciplinary teaching strategies.</w:t>
      </w:r>
    </w:p>
    <w:p w14:paraId="6C392FD0">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Despite growing discourse on the importance of Industry 4.0 readiness, few studies have holistically examined the specific competencies required by TVET educators, the nature and extent of existing skill gaps, and the systemic barriers impeding effective curriculum integration. Without addressing these issues through research-informed reforms and strategic investments in educator development, TVET systems risk becoming increasingly obsolete in the face of rapid industrial transformation.</w:t>
      </w:r>
    </w:p>
    <w:p w14:paraId="17D0DF2E">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This study, therefore, addresses this critical gap by assessing the preparedness of TVET educators for Industry 4.0 integration, identifying key competency requirements, and proposing actionable strategies to bridge the divide between technological innovation and educational practice.</w:t>
      </w:r>
    </w:p>
    <w:p w14:paraId="7757082D">
      <w:pPr>
        <w:pStyle w:val="3"/>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b/>
          <w:bCs/>
          <w:sz w:val="24"/>
          <w:szCs w:val="24"/>
        </w:rPr>
        <w:t>Purpose of the Study</w:t>
      </w:r>
    </w:p>
    <w:p w14:paraId="5CC2A154">
      <w:pPr>
        <w:pStyle w:val="9"/>
        <w:keepNext w:val="0"/>
        <w:keepLines w:val="0"/>
        <w:widowControl/>
        <w:suppressLineNumbers w:val="0"/>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The primary purpose of this study is to empirically model the predictors of institutional readiness for Industry 4.0 within the Nigerian Technical and Vocational Education and Training (TVET) sector. Specifically, the study seeks to bridge the "technological dichotomy" by evaluating how administrative agility and infrastructural support influence the digital fluency and pedagogical preparedness of educators. By synthesizing qualitative insights from TVET practitioners with quantitative survey data, this research aims to provide a validated framework (the TVET Industry 4.0 Integration Model) to guide policy-driven digital transformation in developing economies.</w:t>
      </w:r>
    </w:p>
    <w:p w14:paraId="168D67A7">
      <w:pPr>
        <w:pStyle w:val="9"/>
        <w:spacing w:line="360" w:lineRule="auto"/>
        <w:jc w:val="both"/>
        <w:rPr>
          <w:rFonts w:hint="default" w:ascii="Times New Roman" w:hAnsi="Times New Roman" w:cs="Times New Roman"/>
          <w:sz w:val="24"/>
          <w:szCs w:val="24"/>
        </w:rPr>
      </w:pPr>
      <w:r>
        <w:rPr>
          <w:rStyle w:val="10"/>
          <w:rFonts w:hint="default" w:ascii="Times New Roman" w:hAnsi="Times New Roman" w:cs="Times New Roman"/>
          <w:sz w:val="24"/>
          <w:szCs w:val="24"/>
        </w:rPr>
        <w:t>Review of Related Studies</w:t>
      </w:r>
      <w:r>
        <w:rPr>
          <w:rFonts w:hint="default" w:ascii="Times New Roman" w:hAnsi="Times New Roman" w:cs="Times New Roman"/>
          <w:sz w:val="24"/>
          <w:szCs w:val="24"/>
        </w:rPr>
        <w:t>:</w:t>
      </w:r>
    </w:p>
    <w:p w14:paraId="1C123ABB">
      <w:pPr>
        <w:pStyle w:val="9"/>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The integration of Industry 4.0 technologies into TVET programs is relatively a new area of research, but several studies have begun to explore its implications, challenges, and opportunities. These studies provide valuable insights into the competencies required by educators, the readiness of TVET institutions, and the effectiveness of existing educational strategies in preparing students for the demands of the digital economy. These few literaturecited below have done well to express major views relating to bridging the existing tech gaps in the TVET implementation process.</w:t>
      </w:r>
    </w:p>
    <w:p w14:paraId="2FE32B0C">
      <w:pPr>
        <w:pStyle w:val="4"/>
        <w:spacing w:line="360" w:lineRule="auto"/>
        <w:jc w:val="both"/>
        <w:rPr>
          <w:rFonts w:hint="default" w:ascii="Times New Roman" w:hAnsi="Times New Roman" w:cs="Times New Roman"/>
          <w:b/>
          <w:bCs/>
          <w:sz w:val="24"/>
          <w:szCs w:val="24"/>
        </w:rPr>
      </w:pPr>
      <w:r>
        <w:rPr>
          <w:rStyle w:val="10"/>
          <w:rFonts w:hint="default" w:ascii="Times New Roman" w:hAnsi="Times New Roman" w:cs="Times New Roman"/>
          <w:b/>
          <w:bCs/>
          <w:sz w:val="24"/>
          <w:szCs w:val="24"/>
        </w:rPr>
        <w:t>1. Industry 4.0 and TVET: A Global Perspective</w:t>
      </w:r>
    </w:p>
    <w:p w14:paraId="39C4C42A">
      <w:pPr>
        <w:pStyle w:val="9"/>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Benešová and Tupa (2017) conducted a seminal study that highlighted the global urgency for TVET programs to align with Industry 4.0 standards. Their research emphasized the critical role of digital literacy, problem-solving skills, and the ability to work with advanced technologies such as IoT and robotics. The study also identified significant gaps in the current competencies of TVET educators, noting that many educators lacked the necessary training to effectively teach these advanced skills. This research suggests that without targeted professional development, TVET programs risk falling behind in preparing students for future job markets.</w:t>
      </w:r>
    </w:p>
    <w:p w14:paraId="03D7A02D">
      <w:pPr>
        <w:pStyle w:val="9"/>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Similarly, a study by Jeon and Kim (2019) examined the implementation of Industry 4.0 concepts in South Korean TVET institutions. Their findings revealed that while some institutions had begun to incorporate digital technologies into their curricula, there was a significant variation in the level of integration across different regions and sectors. The study highlighted the need for standardized competency frameworks and continuous professional development for educators to ensure consistency and effectiveness in delivering Industry 4.0-related content.</w:t>
      </w:r>
    </w:p>
    <w:p w14:paraId="52055D6A">
      <w:pPr>
        <w:pStyle w:val="4"/>
        <w:spacing w:line="360" w:lineRule="auto"/>
        <w:jc w:val="both"/>
        <w:rPr>
          <w:rFonts w:hint="default" w:ascii="Times New Roman" w:hAnsi="Times New Roman" w:cs="Times New Roman"/>
          <w:b/>
          <w:bCs/>
          <w:sz w:val="24"/>
          <w:szCs w:val="24"/>
        </w:rPr>
      </w:pPr>
      <w:r>
        <w:rPr>
          <w:rStyle w:val="10"/>
          <w:rFonts w:hint="default" w:ascii="Times New Roman" w:hAnsi="Times New Roman" w:cs="Times New Roman"/>
          <w:b/>
          <w:bCs/>
          <w:sz w:val="24"/>
          <w:szCs w:val="24"/>
        </w:rPr>
        <w:t>2. Competency-Based Education and Industry 4.0</w:t>
      </w:r>
    </w:p>
    <w:p w14:paraId="2DD29DB2">
      <w:pPr>
        <w:pStyle w:val="9"/>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The application of Competency-Based Education (CBE) in the context of Industry 4.0 has been explored by several researchers. Miller and Griffiths (2018) conducted a study that examined the alignment of TVET curricula with the competencies required by Industry 4.0. Their research emphasized the importance of designing curricula around specific, measurable competencies that reflect industry standards. They found that TVET programs that adopted CBE approaches were more successful in producing graduates who were ready to meet the demands of the modern workforce. The study also recommended the integration of industry feedback into curriculum design as a way to ensure that the competencies being taught remained relevant and up-to-date.</w:t>
      </w:r>
    </w:p>
    <w:p w14:paraId="28277994">
      <w:pPr>
        <w:pStyle w:val="9"/>
        <w:spacing w:line="360" w:lineRule="auto"/>
        <w:ind w:firstLine="480" w:firstLineChars="200"/>
        <w:jc w:val="both"/>
        <w:rPr>
          <w:rStyle w:val="10"/>
          <w:rFonts w:hint="default" w:ascii="Times New Roman" w:hAnsi="Times New Roman" w:cs="Times New Roman"/>
          <w:b/>
          <w:bCs/>
          <w:sz w:val="24"/>
          <w:szCs w:val="24"/>
        </w:rPr>
      </w:pPr>
      <w:r>
        <w:rPr>
          <w:rFonts w:hint="default" w:ascii="Times New Roman" w:hAnsi="Times New Roman" w:cs="Times New Roman"/>
          <w:sz w:val="24"/>
          <w:szCs w:val="24"/>
        </w:rPr>
        <w:t>Another significant study by Sivakumar and Bhattacharya (2019) focused on the challenges faced by TVET institutions in implementing CBE in the context of Industry 4.0. Their research identified several barriers, including inadequate infrastructure, limited access to advanced technologies, and resistance to change among educators. The study concluded that for CBE to be effective in preparing students for Industry 4.0, there must be a concerted effort to address these challenges, including investments in infrastructure and targeted professional development for educators.</w:t>
      </w:r>
    </w:p>
    <w:p w14:paraId="44623F9E">
      <w:pPr>
        <w:pStyle w:val="4"/>
        <w:spacing w:line="360" w:lineRule="auto"/>
        <w:jc w:val="both"/>
        <w:rPr>
          <w:rFonts w:hint="default" w:ascii="Times New Roman" w:hAnsi="Times New Roman" w:cs="Times New Roman"/>
          <w:sz w:val="24"/>
          <w:szCs w:val="24"/>
        </w:rPr>
      </w:pPr>
      <w:r>
        <w:rPr>
          <w:rStyle w:val="10"/>
          <w:rFonts w:hint="default" w:ascii="Times New Roman" w:hAnsi="Times New Roman" w:cs="Times New Roman"/>
          <w:b/>
          <w:bCs/>
          <w:sz w:val="24"/>
          <w:szCs w:val="24"/>
        </w:rPr>
        <w:t>3. Technology Acceptance in Education</w:t>
      </w:r>
    </w:p>
    <w:p w14:paraId="24B33D2C">
      <w:pPr>
        <w:pStyle w:val="9"/>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The Technology Acceptance Model (TAM) has been widely used to study the adoption of new technologies in educational settings. Davies et al. (2017) applied TAM to explore how TVET educators perceive and adopt Industry 4.0 technologies in their teaching practices. Their study found that perceived ease of use and perceived usefulness were significant predictors of educators' willingness to integrate new technologies into their curricula. However, the study also noted that many educators felt overwhelmed by the rapid pace of technological change and lacked the confidence to effectively use these technologies in the classroom. The researchers recommended that institutions provide more comprehensive training and support to help educators overcome these challenges.</w:t>
      </w:r>
    </w:p>
    <w:p w14:paraId="6FE16341">
      <w:pPr>
        <w:pStyle w:val="9"/>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Pham et al. (2020) extended this research by examining the factors that influence the acceptance of specific Industry 4.0 technologies, such as AI and big data analytics, among TVET educators. Their findings echoed those of previous studies, highlighting the importance of perceived usefulness and ease of use in technology adoption. The study also identified the role of organizational support, suggesting that institutions that actively promote and support the use of new technologies are more likely to see successful integration in their curricula.</w:t>
      </w:r>
    </w:p>
    <w:p w14:paraId="4778EBA0">
      <w:pPr>
        <w:pStyle w:val="4"/>
        <w:spacing w:line="360" w:lineRule="auto"/>
        <w:jc w:val="both"/>
        <w:rPr>
          <w:rFonts w:hint="default" w:ascii="Times New Roman" w:hAnsi="Times New Roman" w:cs="Times New Roman"/>
          <w:sz w:val="24"/>
          <w:szCs w:val="24"/>
        </w:rPr>
      </w:pPr>
      <w:r>
        <w:rPr>
          <w:rStyle w:val="10"/>
          <w:rFonts w:hint="default" w:ascii="Times New Roman" w:hAnsi="Times New Roman" w:cs="Times New Roman"/>
          <w:b/>
          <w:bCs/>
          <w:sz w:val="24"/>
          <w:szCs w:val="24"/>
        </w:rPr>
        <w:t>4. Enhancing Educator Competencies for Industry 4.0</w:t>
      </w:r>
    </w:p>
    <w:p w14:paraId="4A89465E">
      <w:pPr>
        <w:pStyle w:val="9"/>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Recent studies have also focused on the development of educator competencies in response to the demands of Industry 4.0. A study by Soomro et al. (2019) explored the professional development needs of TVET educators in the context of Industry 4.0. Their research identified key competencies, such as digital literacy, data analysis, and the ability to integrate new technologies into teaching practices. The study recommended a multi-faceted approach to professional development, including formal training programs, industry partnerships, and peer collaboration.</w:t>
      </w:r>
    </w:p>
    <w:p w14:paraId="700EEAEE">
      <w:pPr>
        <w:pStyle w:val="9"/>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In a similar vein, the research by Heisig et al. (2020) examined the role of continuous professional development in enhancing TVET educators' readiness for Industry 4.0. The study found that educators who participated in ongoing professional development were more confident in their ability to teach Industry 4.0-related content and were more likely to adopt innovative teaching practices. The researchers emphasized the need for institutional support in providing access to professional development opportunities and ensuring that these opportunities are aligned with the latest industry trends.</w:t>
      </w:r>
    </w:p>
    <w:p w14:paraId="313B2698">
      <w:pPr>
        <w:pStyle w:val="4"/>
        <w:spacing w:line="360" w:lineRule="auto"/>
        <w:jc w:val="both"/>
        <w:rPr>
          <w:rFonts w:hint="default" w:ascii="Times New Roman" w:hAnsi="Times New Roman" w:cs="Times New Roman"/>
          <w:b/>
          <w:bCs/>
          <w:sz w:val="24"/>
          <w:szCs w:val="24"/>
        </w:rPr>
      </w:pPr>
      <w:r>
        <w:rPr>
          <w:rStyle w:val="10"/>
          <w:rFonts w:hint="default" w:ascii="Times New Roman" w:hAnsi="Times New Roman" w:cs="Times New Roman"/>
          <w:b/>
          <w:bCs/>
          <w:sz w:val="24"/>
          <w:szCs w:val="24"/>
        </w:rPr>
        <w:t>5. Challenges and Opportunities in Industry 4.0 Integration</w:t>
      </w:r>
    </w:p>
    <w:p w14:paraId="3608B542">
      <w:pPr>
        <w:pStyle w:val="9"/>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The integration of Industry 4.0 technologies into TVET programs is not without its challenges. A study by Prause and Atari (2021) explored the barriers to Industry 4.0 adoption in vocational education, identifying issues such as the high cost of technology, resistance to curricular reform, and a lack of alignment between educational outcomes and industry needs. The study also highlighted opportunities for TVET institutions to collaborate with industry partners to overcome these barriers and enhance the relevance of their programs.</w:t>
      </w:r>
    </w:p>
    <w:p w14:paraId="36B0162E">
      <w:pPr>
        <w:pStyle w:val="9"/>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Another study by Jones et al. (2021) focused on the opportunities presented by Industry 4.0 for transforming TVET curricula. Their research suggested that by embracing digitalization and smart technologies, TVET programs could become more responsive to industry needs and better prepare students for future job roles. The study recommended that TVET institutions adopt a proactive approach to curriculum design, incorporating the latest technological advancements and fostering a culture of innovation among educators and students.</w:t>
      </w:r>
    </w:p>
    <w:p w14:paraId="6DC613CE">
      <w:pPr>
        <w:pStyle w:val="9"/>
        <w:keepNext w:val="0"/>
        <w:keepLines w:val="0"/>
        <w:widowControl/>
        <w:suppressLineNumbers w:val="0"/>
        <w:spacing w:before="0" w:beforeAutospacing="0" w:line="360" w:lineRule="auto"/>
        <w:jc w:val="both"/>
        <w:rPr>
          <w:rFonts w:hint="default" w:ascii="Times New Roman" w:hAnsi="Times New Roman" w:eastAsia="sans-serif" w:cs="Times New Roman"/>
          <w:b/>
          <w:bCs/>
          <w:sz w:val="24"/>
          <w:szCs w:val="24"/>
          <w:lang w:val="en-US"/>
        </w:rPr>
      </w:pPr>
      <w:r>
        <w:rPr>
          <w:rFonts w:hint="default" w:ascii="Times New Roman" w:hAnsi="Times New Roman" w:eastAsia="sans-serif" w:cs="Times New Roman"/>
          <w:b/>
          <w:bCs/>
          <w:sz w:val="24"/>
          <w:szCs w:val="24"/>
          <w:lang w:val="en-US"/>
        </w:rPr>
        <w:t>Conceptual Framework</w:t>
      </w:r>
    </w:p>
    <w:p w14:paraId="3C9DA109">
      <w:pPr>
        <w:pStyle w:val="9"/>
        <w:keepNext w:val="0"/>
        <w:keepLines w:val="0"/>
        <w:widowControl/>
        <w:suppressLineNumbers w:val="0"/>
        <w:spacing w:before="0" w:beforeAutospacing="0" w:line="360" w:lineRule="auto"/>
        <w:ind w:firstLine="480" w:firstLineChars="200"/>
        <w:jc w:val="both"/>
        <w:rPr>
          <w:rFonts w:hint="default" w:ascii="Times New Roman" w:hAnsi="Times New Roman" w:eastAsia="sans-serif" w:cs="Times New Roman"/>
          <w:b/>
          <w:bCs/>
          <w:sz w:val="24"/>
          <w:szCs w:val="24"/>
          <w:lang w:val="en-US"/>
        </w:rPr>
      </w:pPr>
      <w:r>
        <w:rPr>
          <w:rFonts w:hint="default" w:ascii="Times New Roman" w:hAnsi="Times New Roman" w:eastAsia="SimSun" w:cs="Times New Roman"/>
          <w:sz w:val="24"/>
          <w:szCs w:val="24"/>
        </w:rPr>
        <w:t xml:space="preserve">The conceptual logic of the study is visualized in </w:t>
      </w:r>
      <w:r>
        <w:rPr>
          <w:rFonts w:hint="default" w:ascii="Times New Roman" w:hAnsi="Times New Roman" w:eastAsia="SimSun" w:cs="Times New Roman"/>
          <w:b/>
          <w:bCs/>
          <w:sz w:val="24"/>
          <w:szCs w:val="24"/>
        </w:rPr>
        <w:t>Figure 2</w:t>
      </w:r>
      <w:r>
        <w:rPr>
          <w:rFonts w:hint="default" w:ascii="Times New Roman" w:hAnsi="Times New Roman" w:eastAsia="SimSun" w:cs="Times New Roman"/>
          <w:sz w:val="24"/>
          <w:szCs w:val="24"/>
        </w:rPr>
        <w:t xml:space="preserve"> and operationalized in </w:t>
      </w:r>
      <w:r>
        <w:rPr>
          <w:rFonts w:hint="default" w:ascii="Times New Roman" w:hAnsi="Times New Roman" w:eastAsia="SimSun" w:cs="Times New Roman"/>
          <w:b/>
          <w:bCs/>
          <w:sz w:val="24"/>
          <w:szCs w:val="24"/>
        </w:rPr>
        <w:t>Table 1</w:t>
      </w:r>
      <w:r>
        <w:rPr>
          <w:rFonts w:hint="default" w:ascii="Times New Roman" w:hAnsi="Times New Roman" w:eastAsia="SimSun" w:cs="Times New Roman"/>
          <w:sz w:val="24"/>
          <w:szCs w:val="24"/>
        </w:rPr>
        <w:t>. While Figure 2 illustrates the dynamic, systemic flow of the TIIM framework</w:t>
      </w:r>
      <w:r>
        <w:rPr>
          <w:rFonts w:hint="default" w:ascii="Times New Roman" w:hAnsi="Times New Roman" w:eastAsia="SimSun" w:cs="Times New Roman"/>
          <w:sz w:val="24"/>
          <w:szCs w:val="24"/>
          <w:lang w:val="en-US"/>
        </w:rPr>
        <w:t xml:space="preserve"> - </w:t>
      </w:r>
      <w:r>
        <w:rPr>
          <w:rFonts w:hint="default" w:ascii="Times New Roman" w:hAnsi="Times New Roman" w:eastAsia="SimSun" w:cs="Times New Roman"/>
          <w:sz w:val="24"/>
          <w:szCs w:val="24"/>
        </w:rPr>
        <w:t>highlighting how Administrative Inputs catalyze the Pedagogical Process</w:t>
      </w:r>
      <w:r>
        <w:rPr>
          <w:rFonts w:hint="default" w:ascii="Times New Roman" w:hAnsi="Times New Roman" w:eastAsia="SimSun" w:cs="Times New Roman"/>
          <w:sz w:val="24"/>
          <w:szCs w:val="24"/>
          <w:lang w:val="en-US"/>
        </w:rPr>
        <w:t xml:space="preserve"> - </w:t>
      </w:r>
      <w:r>
        <w:rPr>
          <w:rFonts w:hint="default" w:ascii="Times New Roman" w:hAnsi="Times New Roman" w:eastAsia="SimSun" w:cs="Times New Roman"/>
          <w:sz w:val="24"/>
          <w:szCs w:val="24"/>
        </w:rPr>
        <w:t>Table 1 provides the specific components and theoretical underpinnings (TAM and Constructivism) required at each stage. Together, these elements move the analysis from a fragmented view of technology adoption to a holistic, systemic logic.</w:t>
      </w:r>
    </w:p>
    <w:p w14:paraId="237B583B">
      <w:pPr>
        <w:pStyle w:val="9"/>
        <w:jc w:val="both"/>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5902325" cy="2743200"/>
            <wp:effectExtent l="19050" t="0" r="0" b="0"/>
            <wp:docPr id="102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05DF4CAF">
      <w:pPr>
        <w:pStyle w:val="9"/>
        <w:jc w:val="center"/>
        <w:rPr>
          <w:rFonts w:hint="default" w:ascii="Sans Serif Collection" w:hAnsi="Sans Serif Collection" w:eastAsia="Times New Roman" w:cs="Sans Serif Collection"/>
          <w:b/>
          <w:bCs w:val="0"/>
          <w:kern w:val="0"/>
          <w:sz w:val="24"/>
          <w:szCs w:val="24"/>
        </w:rPr>
      </w:pPr>
      <w:r>
        <w:rPr>
          <w:rFonts w:hint="default" w:ascii="Sans Serif Collection" w:hAnsi="Sans Serif Collection" w:eastAsia="Times New Roman" w:cs="Sans Serif Collection"/>
          <w:b/>
          <w:bCs w:val="0"/>
          <w:kern w:val="0"/>
          <w:sz w:val="24"/>
          <w:szCs w:val="24"/>
        </w:rPr>
        <w:t xml:space="preserve">Fig. </w:t>
      </w:r>
      <w:r>
        <w:rPr>
          <w:rFonts w:hint="default" w:ascii="Sans Serif Collection" w:hAnsi="Sans Serif Collection" w:eastAsia="Times New Roman" w:cs="Sans Serif Collection"/>
          <w:b/>
          <w:bCs w:val="0"/>
          <w:kern w:val="0"/>
          <w:sz w:val="24"/>
          <w:szCs w:val="24"/>
          <w:lang w:val="en-US"/>
        </w:rPr>
        <w:t>2</w:t>
      </w:r>
      <w:r>
        <w:rPr>
          <w:rFonts w:hint="default" w:ascii="Sans Serif Collection" w:hAnsi="Sans Serif Collection" w:eastAsia="Times New Roman" w:cs="Sans Serif Collection"/>
          <w:b/>
          <w:bCs w:val="0"/>
          <w:kern w:val="0"/>
          <w:sz w:val="24"/>
          <w:szCs w:val="24"/>
        </w:rPr>
        <w:t>- Conceptual Framework</w:t>
      </w:r>
    </w:p>
    <w:p w14:paraId="0BC63168">
      <w:pPr>
        <w:pStyle w:val="9"/>
        <w:jc w:val="center"/>
        <w:rPr>
          <w:rFonts w:hint="default" w:ascii="Sans Serif Collection" w:hAnsi="Sans Serif Collection" w:eastAsia="SimSun" w:cs="Sans Serif Collection"/>
          <w:b/>
          <w:bCs/>
          <w:sz w:val="24"/>
          <w:szCs w:val="24"/>
          <w:lang w:val="en-US"/>
        </w:rPr>
      </w:pPr>
      <w:r>
        <w:rPr>
          <w:rFonts w:hint="default" w:ascii="Sans Serif Collection" w:hAnsi="Sans Serif Collection" w:eastAsia="SimSun" w:cs="Sans Serif Collection"/>
          <w:b/>
          <w:bCs/>
          <w:sz w:val="24"/>
          <w:szCs w:val="24"/>
          <w:lang w:val="en-US"/>
        </w:rPr>
        <w:t xml:space="preserve">Table 1: </w:t>
      </w:r>
      <w:r>
        <w:rPr>
          <w:rFonts w:hint="default" w:ascii="Sans Serif Collection" w:hAnsi="Sans Serif Collection" w:eastAsia="SimSun" w:cs="Sans Serif Collection"/>
          <w:b/>
          <w:bCs/>
          <w:sz w:val="24"/>
          <w:szCs w:val="24"/>
        </w:rPr>
        <w:t>Operationalization of the TIIM Framework.</w:t>
      </w:r>
    </w:p>
    <w:tbl>
      <w:tblPr>
        <w:tblStyle w:val="6"/>
        <w:tblW w:w="0" w:type="auto"/>
        <w:tblCellSpacing w:w="15" w:type="dxa"/>
        <w:tblInd w:w="10" w:type="dxa"/>
        <w:tblBorders>
          <w:top w:val="none" w:color="1F1F1F" w:sz="0" w:space="0"/>
          <w:left w:val="none" w:color="1F1F1F" w:sz="0" w:space="0"/>
          <w:bottom w:val="none" w:color="1F1F1F" w:sz="0" w:space="0"/>
          <w:right w:val="none" w:color="1F1F1F"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331"/>
        <w:gridCol w:w="3134"/>
        <w:gridCol w:w="3151"/>
      </w:tblGrid>
      <w:tr w14:paraId="2597C27F">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tblCellMar>
            <w:top w:w="0" w:type="dxa"/>
            <w:left w:w="0" w:type="dxa"/>
            <w:bottom w:w="0" w:type="dxa"/>
            <w:right w:w="0" w:type="dxa"/>
          </w:tblCellMar>
        </w:tblPrEx>
        <w:trPr>
          <w:tblHeader/>
          <w:tblCellSpacing w:w="15" w:type="dxa"/>
        </w:trPr>
        <w:tc>
          <w:tcPr>
            <w:tcW w:w="0" w:type="auto"/>
            <w:tcBorders>
              <w:top w:val="single" w:color="auto" w:sz="4" w:space="0"/>
              <w:left w:val="single" w:color="auto" w:sz="4" w:space="0"/>
              <w:bottom w:val="single" w:color="auto" w:sz="4" w:space="0"/>
              <w:right w:val="single" w:color="auto" w:sz="4" w:space="0"/>
            </w:tcBorders>
            <w:shd w:val="clear" w:color="auto" w:fill="auto"/>
            <w:tcMar>
              <w:top w:w="80" w:type="dxa"/>
              <w:left w:w="120" w:type="dxa"/>
              <w:bottom w:w="80" w:type="dxa"/>
              <w:right w:w="120" w:type="dxa"/>
            </w:tcMar>
            <w:vAlign w:val="center"/>
          </w:tcPr>
          <w:p w14:paraId="612B758C">
            <w:pPr>
              <w:keepNext w:val="0"/>
              <w:keepLines w:val="0"/>
              <w:widowControl/>
              <w:suppressLineNumbers w:val="0"/>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r>
              <w:rPr>
                <w:rStyle w:val="10"/>
                <w:rFonts w:hint="default" w:ascii="Times New Roman" w:hAnsi="Times New Roman" w:eastAsia="sans-serif" w:cs="Times New Roman"/>
                <w:color w:val="1F1F1F"/>
                <w:kern w:val="0"/>
                <w:sz w:val="24"/>
                <w:szCs w:val="24"/>
                <w:lang w:val="en-US" w:eastAsia="zh-CN" w:bidi="ar"/>
              </w:rPr>
              <w:t>Framework Stage</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80" w:type="dxa"/>
              <w:left w:w="120" w:type="dxa"/>
              <w:bottom w:w="80" w:type="dxa"/>
              <w:right w:w="120" w:type="dxa"/>
            </w:tcMar>
            <w:vAlign w:val="center"/>
          </w:tcPr>
          <w:p w14:paraId="4CAE5C57">
            <w:pPr>
              <w:keepNext w:val="0"/>
              <w:keepLines w:val="0"/>
              <w:widowControl/>
              <w:suppressLineNumbers w:val="0"/>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r>
              <w:rPr>
                <w:rStyle w:val="10"/>
                <w:rFonts w:hint="default" w:ascii="Times New Roman" w:hAnsi="Times New Roman" w:eastAsia="sans-serif" w:cs="Times New Roman"/>
                <w:color w:val="1F1F1F"/>
                <w:kern w:val="0"/>
                <w:sz w:val="24"/>
                <w:szCs w:val="24"/>
                <w:lang w:val="en-US" w:eastAsia="zh-CN" w:bidi="ar"/>
              </w:rPr>
              <w:t>Key Components &amp; Actions</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80" w:type="dxa"/>
              <w:left w:w="120" w:type="dxa"/>
              <w:bottom w:w="80" w:type="dxa"/>
              <w:right w:w="120" w:type="dxa"/>
            </w:tcMar>
            <w:vAlign w:val="center"/>
          </w:tcPr>
          <w:p w14:paraId="7E68C9E5">
            <w:pPr>
              <w:keepNext w:val="0"/>
              <w:keepLines w:val="0"/>
              <w:widowControl/>
              <w:suppressLineNumbers w:val="0"/>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r>
              <w:rPr>
                <w:rStyle w:val="10"/>
                <w:rFonts w:hint="default" w:ascii="Times New Roman" w:hAnsi="Times New Roman" w:eastAsia="sans-serif" w:cs="Times New Roman"/>
                <w:color w:val="1F1F1F"/>
                <w:kern w:val="0"/>
                <w:sz w:val="24"/>
                <w:szCs w:val="24"/>
                <w:lang w:val="en-US" w:eastAsia="zh-CN" w:bidi="ar"/>
              </w:rPr>
              <w:t>Supporting Evidence/Theory</w:t>
            </w:r>
          </w:p>
        </w:tc>
      </w:tr>
      <w:tr w14:paraId="0E22543F">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tcBorders>
              <w:top w:val="single" w:color="auto" w:sz="4" w:space="0"/>
              <w:left w:val="single" w:color="auto" w:sz="4" w:space="0"/>
              <w:bottom w:val="single" w:color="auto" w:sz="4" w:space="0"/>
              <w:right w:val="single" w:color="auto" w:sz="4" w:space="0"/>
            </w:tcBorders>
            <w:shd w:val="clear" w:color="auto" w:fill="auto"/>
            <w:tcMar>
              <w:top w:w="80" w:type="dxa"/>
              <w:left w:w="120" w:type="dxa"/>
              <w:bottom w:w="80" w:type="dxa"/>
              <w:right w:w="120" w:type="dxa"/>
            </w:tcMar>
            <w:vAlign w:val="center"/>
          </w:tcPr>
          <w:p w14:paraId="0D478114">
            <w:pPr>
              <w:keepNext w:val="0"/>
              <w:keepLines w:val="0"/>
              <w:widowControl/>
              <w:suppressLineNumbers w:val="0"/>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r>
              <w:rPr>
                <w:rFonts w:hint="default" w:ascii="Times New Roman" w:hAnsi="Times New Roman" w:eastAsia="sans-serif" w:cs="Times New Roman"/>
                <w:b/>
                <w:bCs/>
                <w:color w:val="1F1F1F"/>
                <w:kern w:val="0"/>
                <w:sz w:val="24"/>
                <w:szCs w:val="24"/>
                <w:lang w:val="en-US" w:eastAsia="zh-CN" w:bidi="ar"/>
              </w:rPr>
              <w:t>Inputs (Foundations)</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80" w:type="dxa"/>
              <w:left w:w="120" w:type="dxa"/>
              <w:bottom w:w="80" w:type="dxa"/>
              <w:right w:w="120" w:type="dxa"/>
            </w:tcMar>
            <w:vAlign w:val="center"/>
          </w:tcPr>
          <w:p w14:paraId="7E8708EC">
            <w:pPr>
              <w:pStyle w:val="9"/>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r>
              <w:rPr>
                <w:rFonts w:hint="default" w:ascii="Times New Roman" w:hAnsi="Times New Roman" w:eastAsia="sans-serif" w:cs="Times New Roman"/>
                <w:b/>
                <w:bCs/>
                <w:color w:val="1F1F1F"/>
                <w:sz w:val="24"/>
                <w:szCs w:val="24"/>
              </w:rPr>
              <w:t>Administrative Reform:</w:t>
            </w:r>
            <w:r>
              <w:rPr>
                <w:rFonts w:hint="default" w:ascii="Times New Roman" w:hAnsi="Times New Roman" w:eastAsia="sans-serif" w:cs="Times New Roman"/>
                <w:color w:val="1F1F1F"/>
                <w:sz w:val="24"/>
                <w:szCs w:val="24"/>
              </w:rPr>
              <w:t xml:space="preserve"> Strategic vision and inter-ministerial coordination. </w:t>
            </w:r>
          </w:p>
          <w:p w14:paraId="74E73265">
            <w:pPr>
              <w:keepNext w:val="0"/>
              <w:keepLines w:val="0"/>
              <w:widowControl/>
              <w:suppressLineNumbers w:val="0"/>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p>
          <w:p w14:paraId="19208715">
            <w:pPr>
              <w:pStyle w:val="9"/>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r>
              <w:rPr>
                <w:rFonts w:hint="default" w:ascii="Times New Roman" w:hAnsi="Times New Roman" w:eastAsia="sans-serif" w:cs="Times New Roman"/>
                <w:b/>
                <w:bCs/>
                <w:color w:val="1F1F1F"/>
                <w:sz w:val="24"/>
                <w:szCs w:val="24"/>
              </w:rPr>
              <w:t>Infrastructural Investment:</w:t>
            </w:r>
            <w:r>
              <w:rPr>
                <w:rFonts w:hint="default" w:ascii="Times New Roman" w:hAnsi="Times New Roman" w:eastAsia="sans-serif" w:cs="Times New Roman"/>
                <w:color w:val="1F1F1F"/>
                <w:sz w:val="24"/>
                <w:szCs w:val="24"/>
              </w:rPr>
              <w:t xml:space="preserve"> Provision of internet, electricity, and simulation labs. </w:t>
            </w:r>
          </w:p>
          <w:p w14:paraId="73B0F0B1">
            <w:pPr>
              <w:keepNext w:val="0"/>
              <w:keepLines w:val="0"/>
              <w:widowControl/>
              <w:suppressLineNumbers w:val="0"/>
              <w:jc w:val="both"/>
              <w:rPr>
                <w:rFonts w:hint="default" w:ascii="Times New Roman" w:hAnsi="Times New Roman" w:cs="Times New Roman"/>
                <w:sz w:val="24"/>
                <w:szCs w:val="24"/>
              </w:rPr>
            </w:pPr>
          </w:p>
          <w:p w14:paraId="5E1BF502">
            <w:pPr>
              <w:pStyle w:val="9"/>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r>
              <w:rPr>
                <w:rFonts w:hint="default" w:ascii="Times New Roman" w:hAnsi="Times New Roman" w:eastAsia="sans-serif" w:cs="Times New Roman"/>
                <w:b/>
                <w:bCs/>
                <w:color w:val="1F1F1F"/>
                <w:sz w:val="24"/>
                <w:szCs w:val="24"/>
              </w:rPr>
              <w:t>Partnerships:</w:t>
            </w:r>
            <w:r>
              <w:rPr>
                <w:rFonts w:hint="default" w:ascii="Times New Roman" w:hAnsi="Times New Roman" w:eastAsia="sans-serif" w:cs="Times New Roman"/>
                <w:color w:val="1F1F1F"/>
                <w:sz w:val="24"/>
                <w:szCs w:val="24"/>
              </w:rPr>
              <w:t xml:space="preserve"> Formal collaboration with private tech companies.</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80" w:type="dxa"/>
              <w:left w:w="120" w:type="dxa"/>
              <w:bottom w:w="80" w:type="dxa"/>
              <w:right w:w="120" w:type="dxa"/>
            </w:tcMar>
            <w:vAlign w:val="center"/>
          </w:tcPr>
          <w:p w14:paraId="2B44C459">
            <w:pPr>
              <w:pStyle w:val="9"/>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r>
              <w:rPr>
                <w:rFonts w:hint="default" w:ascii="Times New Roman" w:hAnsi="Times New Roman" w:eastAsia="sans-serif" w:cs="Times New Roman"/>
                <w:b/>
                <w:bCs/>
                <w:color w:val="1F1F1F"/>
                <w:sz w:val="24"/>
                <w:szCs w:val="24"/>
              </w:rPr>
              <w:t>TAM:</w:t>
            </w:r>
            <w:r>
              <w:rPr>
                <w:rFonts w:hint="default" w:ascii="Times New Roman" w:hAnsi="Times New Roman" w:eastAsia="sans-serif" w:cs="Times New Roman"/>
                <w:color w:val="1F1F1F"/>
                <w:sz w:val="24"/>
                <w:szCs w:val="24"/>
              </w:rPr>
              <w:t xml:space="preserve"> Perceived usefulness is driven by access to functional tools.</w:t>
            </w:r>
          </w:p>
        </w:tc>
      </w:tr>
      <w:tr w14:paraId="0C0319AF">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tcBorders>
              <w:top w:val="single" w:color="auto" w:sz="4" w:space="0"/>
              <w:left w:val="single" w:color="auto" w:sz="4" w:space="0"/>
              <w:bottom w:val="single" w:color="auto" w:sz="4" w:space="0"/>
              <w:right w:val="single" w:color="auto" w:sz="4" w:space="0"/>
            </w:tcBorders>
            <w:shd w:val="clear" w:color="auto" w:fill="auto"/>
            <w:tcMar>
              <w:top w:w="80" w:type="dxa"/>
              <w:left w:w="120" w:type="dxa"/>
              <w:bottom w:w="80" w:type="dxa"/>
              <w:right w:w="120" w:type="dxa"/>
            </w:tcMar>
            <w:vAlign w:val="center"/>
          </w:tcPr>
          <w:p w14:paraId="335D8E7C">
            <w:pPr>
              <w:keepNext w:val="0"/>
              <w:keepLines w:val="0"/>
              <w:widowControl/>
              <w:suppressLineNumbers w:val="0"/>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r>
              <w:rPr>
                <w:rFonts w:hint="default" w:ascii="Times New Roman" w:hAnsi="Times New Roman" w:eastAsia="sans-serif" w:cs="Times New Roman"/>
                <w:b/>
                <w:bCs/>
                <w:color w:val="1F1F1F"/>
                <w:kern w:val="0"/>
                <w:sz w:val="24"/>
                <w:szCs w:val="24"/>
                <w:lang w:val="en-US" w:eastAsia="zh-CN" w:bidi="ar"/>
              </w:rPr>
              <w:t>Process (Transformation)</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80" w:type="dxa"/>
              <w:left w:w="120" w:type="dxa"/>
              <w:bottom w:w="80" w:type="dxa"/>
              <w:right w:w="120" w:type="dxa"/>
            </w:tcMar>
            <w:vAlign w:val="center"/>
          </w:tcPr>
          <w:p w14:paraId="185C5FC8">
            <w:pPr>
              <w:pStyle w:val="9"/>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r>
              <w:rPr>
                <w:rFonts w:hint="default" w:ascii="Times New Roman" w:hAnsi="Times New Roman" w:eastAsia="sans-serif" w:cs="Times New Roman"/>
                <w:b/>
                <w:bCs/>
                <w:color w:val="1F1F1F"/>
                <w:sz w:val="24"/>
                <w:szCs w:val="24"/>
              </w:rPr>
              <w:t>Curriculum Re-engineering:</w:t>
            </w:r>
            <w:r>
              <w:rPr>
                <w:rFonts w:hint="default" w:ascii="Times New Roman" w:hAnsi="Times New Roman" w:eastAsia="sans-serif" w:cs="Times New Roman"/>
                <w:color w:val="1F1F1F"/>
                <w:sz w:val="24"/>
                <w:szCs w:val="24"/>
              </w:rPr>
              <w:t xml:space="preserve"> Integrating AI, IoT, and robotics into trade-based learning. </w:t>
            </w:r>
          </w:p>
          <w:p w14:paraId="64108BEF">
            <w:pPr>
              <w:keepNext w:val="0"/>
              <w:keepLines w:val="0"/>
              <w:widowControl/>
              <w:suppressLineNumbers w:val="0"/>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p>
          <w:p w14:paraId="23F0FD43">
            <w:pPr>
              <w:pStyle w:val="9"/>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r>
              <w:rPr>
                <w:rFonts w:hint="default" w:ascii="Times New Roman" w:hAnsi="Times New Roman" w:eastAsia="sans-serif" w:cs="Times New Roman"/>
                <w:b/>
                <w:bCs/>
                <w:color w:val="1F1F1F"/>
                <w:sz w:val="24"/>
                <w:szCs w:val="24"/>
              </w:rPr>
              <w:t>Staff Development:</w:t>
            </w:r>
            <w:r>
              <w:rPr>
                <w:rFonts w:hint="default" w:ascii="Times New Roman" w:hAnsi="Times New Roman" w:eastAsia="sans-serif" w:cs="Times New Roman"/>
                <w:color w:val="1F1F1F"/>
                <w:sz w:val="24"/>
                <w:szCs w:val="24"/>
              </w:rPr>
              <w:t xml:space="preserve"> Hands-on workshops, industry attachments, and MOOCs.</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80" w:type="dxa"/>
              <w:left w:w="120" w:type="dxa"/>
              <w:bottom w:w="80" w:type="dxa"/>
              <w:right w:w="120" w:type="dxa"/>
            </w:tcMar>
            <w:vAlign w:val="center"/>
          </w:tcPr>
          <w:p w14:paraId="2BF07A7E">
            <w:pPr>
              <w:pStyle w:val="9"/>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r>
              <w:rPr>
                <w:rFonts w:hint="default" w:ascii="Times New Roman" w:hAnsi="Times New Roman" w:eastAsia="sans-serif" w:cs="Times New Roman"/>
                <w:b/>
                <w:bCs/>
                <w:color w:val="1F1F1F"/>
                <w:sz w:val="24"/>
                <w:szCs w:val="24"/>
              </w:rPr>
              <w:t>Constructivism:</w:t>
            </w:r>
            <w:r>
              <w:rPr>
                <w:rFonts w:hint="default" w:ascii="Times New Roman" w:hAnsi="Times New Roman" w:eastAsia="sans-serif" w:cs="Times New Roman"/>
                <w:color w:val="1F1F1F"/>
                <w:sz w:val="24"/>
                <w:szCs w:val="24"/>
              </w:rPr>
              <w:t xml:space="preserve"> Creating learner-centered, project-based environments.</w:t>
            </w:r>
          </w:p>
        </w:tc>
      </w:tr>
      <w:tr w14:paraId="2D31B449">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tcBorders>
              <w:top w:val="single" w:color="auto" w:sz="4" w:space="0"/>
              <w:left w:val="single" w:color="auto" w:sz="4" w:space="0"/>
              <w:bottom w:val="single" w:color="auto" w:sz="4" w:space="0"/>
              <w:right w:val="single" w:color="auto" w:sz="4" w:space="0"/>
            </w:tcBorders>
            <w:shd w:val="clear" w:color="auto" w:fill="auto"/>
            <w:tcMar>
              <w:top w:w="80" w:type="dxa"/>
              <w:left w:w="120" w:type="dxa"/>
              <w:bottom w:w="80" w:type="dxa"/>
              <w:right w:w="120" w:type="dxa"/>
            </w:tcMar>
            <w:vAlign w:val="center"/>
          </w:tcPr>
          <w:p w14:paraId="5F656F12">
            <w:pPr>
              <w:keepNext w:val="0"/>
              <w:keepLines w:val="0"/>
              <w:widowControl/>
              <w:suppressLineNumbers w:val="0"/>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r>
              <w:rPr>
                <w:rFonts w:hint="default" w:ascii="Times New Roman" w:hAnsi="Times New Roman" w:eastAsia="sans-serif" w:cs="Times New Roman"/>
                <w:b/>
                <w:bCs/>
                <w:color w:val="1F1F1F"/>
                <w:kern w:val="0"/>
                <w:sz w:val="24"/>
                <w:szCs w:val="24"/>
                <w:lang w:val="en-US" w:eastAsia="zh-CN" w:bidi="ar"/>
              </w:rPr>
              <w:t>Outputs (Short-term Results)</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80" w:type="dxa"/>
              <w:left w:w="120" w:type="dxa"/>
              <w:bottom w:w="80" w:type="dxa"/>
              <w:right w:w="120" w:type="dxa"/>
            </w:tcMar>
            <w:vAlign w:val="center"/>
          </w:tcPr>
          <w:p w14:paraId="0499C297">
            <w:pPr>
              <w:pStyle w:val="9"/>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r>
              <w:rPr>
                <w:rFonts w:hint="default" w:ascii="Times New Roman" w:hAnsi="Times New Roman" w:eastAsia="sans-serif" w:cs="Times New Roman"/>
                <w:b/>
                <w:bCs/>
                <w:color w:val="1F1F1F"/>
                <w:sz w:val="24"/>
                <w:szCs w:val="24"/>
              </w:rPr>
              <w:t>Digital Fluency:</w:t>
            </w:r>
            <w:r>
              <w:rPr>
                <w:rFonts w:hint="default" w:ascii="Times New Roman" w:hAnsi="Times New Roman" w:eastAsia="sans-serif" w:cs="Times New Roman"/>
                <w:color w:val="1F1F1F"/>
                <w:sz w:val="24"/>
                <w:szCs w:val="24"/>
              </w:rPr>
              <w:t xml:space="preserve"> Educators demonstrate mastery of smart factory operations and data analytics. </w:t>
            </w:r>
          </w:p>
          <w:p w14:paraId="087F93EA">
            <w:pPr>
              <w:keepNext w:val="0"/>
              <w:keepLines w:val="0"/>
              <w:widowControl/>
              <w:suppressLineNumbers w:val="0"/>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p>
          <w:p w14:paraId="21821210">
            <w:pPr>
              <w:pStyle w:val="9"/>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r>
              <w:rPr>
                <w:rFonts w:hint="default" w:ascii="Times New Roman" w:hAnsi="Times New Roman" w:eastAsia="sans-serif" w:cs="Times New Roman"/>
                <w:b/>
                <w:bCs/>
                <w:color w:val="1F1F1F"/>
                <w:sz w:val="24"/>
                <w:szCs w:val="24"/>
              </w:rPr>
              <w:t>Modernized Labs:</w:t>
            </w:r>
            <w:r>
              <w:rPr>
                <w:rFonts w:hint="default" w:ascii="Times New Roman" w:hAnsi="Times New Roman" w:eastAsia="sans-serif" w:cs="Times New Roman"/>
                <w:color w:val="1F1F1F"/>
                <w:sz w:val="24"/>
                <w:szCs w:val="24"/>
              </w:rPr>
              <w:t xml:space="preserve"> Transition from analog to digital/smart workshop environments.</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80" w:type="dxa"/>
              <w:left w:w="120" w:type="dxa"/>
              <w:bottom w:w="80" w:type="dxa"/>
              <w:right w:w="120" w:type="dxa"/>
            </w:tcMar>
            <w:vAlign w:val="center"/>
          </w:tcPr>
          <w:p w14:paraId="441A2FC1">
            <w:pPr>
              <w:pStyle w:val="9"/>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r>
              <w:rPr>
                <w:rFonts w:hint="default" w:ascii="Times New Roman" w:hAnsi="Times New Roman" w:eastAsia="sans-serif" w:cs="Times New Roman"/>
                <w:b/>
                <w:bCs/>
                <w:color w:val="1F1F1F"/>
                <w:sz w:val="24"/>
                <w:szCs w:val="24"/>
              </w:rPr>
              <w:t>CBE Theory:</w:t>
            </w:r>
            <w:r>
              <w:rPr>
                <w:rFonts w:hint="default" w:ascii="Times New Roman" w:hAnsi="Times New Roman" w:eastAsia="sans-serif" w:cs="Times New Roman"/>
                <w:color w:val="1F1F1F"/>
                <w:sz w:val="24"/>
                <w:szCs w:val="24"/>
              </w:rPr>
              <w:t xml:space="preserve"> Measuring success through mastery of specific digital competencies.</w:t>
            </w:r>
          </w:p>
        </w:tc>
      </w:tr>
      <w:tr w14:paraId="60B8FB8B">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tcBorders>
              <w:top w:val="single" w:color="auto" w:sz="4" w:space="0"/>
              <w:left w:val="single" w:color="auto" w:sz="4" w:space="0"/>
              <w:bottom w:val="single" w:color="auto" w:sz="4" w:space="0"/>
              <w:right w:val="single" w:color="auto" w:sz="4" w:space="0"/>
            </w:tcBorders>
            <w:shd w:val="clear" w:color="auto" w:fill="auto"/>
            <w:tcMar>
              <w:top w:w="80" w:type="dxa"/>
              <w:left w:w="120" w:type="dxa"/>
              <w:bottom w:w="80" w:type="dxa"/>
              <w:right w:w="120" w:type="dxa"/>
            </w:tcMar>
            <w:vAlign w:val="center"/>
          </w:tcPr>
          <w:p w14:paraId="35A17C77">
            <w:pPr>
              <w:keepNext w:val="0"/>
              <w:keepLines w:val="0"/>
              <w:widowControl/>
              <w:suppressLineNumbers w:val="0"/>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r>
              <w:rPr>
                <w:rFonts w:hint="default" w:ascii="Times New Roman" w:hAnsi="Times New Roman" w:eastAsia="sans-serif" w:cs="Times New Roman"/>
                <w:b/>
                <w:bCs/>
                <w:color w:val="1F1F1F"/>
                <w:kern w:val="0"/>
                <w:sz w:val="24"/>
                <w:szCs w:val="24"/>
                <w:lang w:val="en-US" w:eastAsia="zh-CN" w:bidi="ar"/>
              </w:rPr>
              <w:t>Outcomes (Long-term Impact)</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80" w:type="dxa"/>
              <w:left w:w="120" w:type="dxa"/>
              <w:bottom w:w="80" w:type="dxa"/>
              <w:right w:w="120" w:type="dxa"/>
            </w:tcMar>
            <w:vAlign w:val="center"/>
          </w:tcPr>
          <w:p w14:paraId="3A976DD8">
            <w:pPr>
              <w:pStyle w:val="9"/>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r>
              <w:rPr>
                <w:rFonts w:hint="default" w:ascii="Times New Roman" w:hAnsi="Times New Roman" w:eastAsia="sans-serif" w:cs="Times New Roman"/>
                <w:b/>
                <w:bCs/>
                <w:color w:val="1F1F1F"/>
                <w:sz w:val="24"/>
                <w:szCs w:val="24"/>
              </w:rPr>
              <w:t>Graduate Employability:</w:t>
            </w:r>
            <w:r>
              <w:rPr>
                <w:rFonts w:hint="default" w:ascii="Times New Roman" w:hAnsi="Times New Roman" w:eastAsia="sans-serif" w:cs="Times New Roman"/>
                <w:color w:val="1F1F1F"/>
                <w:sz w:val="24"/>
                <w:szCs w:val="24"/>
              </w:rPr>
              <w:t xml:space="preserve"> Reducing the skills mismatch in the labor market. </w:t>
            </w:r>
          </w:p>
          <w:p w14:paraId="291003E7">
            <w:pPr>
              <w:keepNext w:val="0"/>
              <w:keepLines w:val="0"/>
              <w:widowControl/>
              <w:suppressLineNumbers w:val="0"/>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p>
          <w:p w14:paraId="220077D3">
            <w:pPr>
              <w:pStyle w:val="9"/>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r>
              <w:rPr>
                <w:rFonts w:hint="default" w:ascii="Times New Roman" w:hAnsi="Times New Roman" w:eastAsia="sans-serif" w:cs="Times New Roman"/>
                <w:b/>
                <w:bCs/>
                <w:color w:val="1F1F1F"/>
                <w:sz w:val="24"/>
                <w:szCs w:val="24"/>
              </w:rPr>
              <w:t>Institutional Preparedness:</w:t>
            </w:r>
            <w:r>
              <w:rPr>
                <w:rFonts w:hint="default" w:ascii="Times New Roman" w:hAnsi="Times New Roman" w:eastAsia="sans-serif" w:cs="Times New Roman"/>
                <w:color w:val="1F1F1F"/>
                <w:sz w:val="24"/>
                <w:szCs w:val="24"/>
              </w:rPr>
              <w:t xml:space="preserve"> TVET schools serve as regional excellence hubs.</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80" w:type="dxa"/>
              <w:left w:w="120" w:type="dxa"/>
              <w:bottom w:w="80" w:type="dxa"/>
              <w:right w:w="120" w:type="dxa"/>
            </w:tcMar>
            <w:vAlign w:val="center"/>
          </w:tcPr>
          <w:p w14:paraId="6C47C6CE">
            <w:pPr>
              <w:pStyle w:val="9"/>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r>
              <w:rPr>
                <w:rFonts w:hint="default" w:ascii="Times New Roman" w:hAnsi="Times New Roman" w:eastAsia="sans-serif" w:cs="Times New Roman"/>
                <w:b/>
                <w:bCs/>
                <w:color w:val="1F1F1F"/>
                <w:sz w:val="24"/>
                <w:szCs w:val="24"/>
              </w:rPr>
              <w:t>Global Alignment:</w:t>
            </w:r>
            <w:r>
              <w:rPr>
                <w:rFonts w:hint="default" w:ascii="Times New Roman" w:hAnsi="Times New Roman" w:eastAsia="sans-serif" w:cs="Times New Roman"/>
                <w:color w:val="1F1F1F"/>
                <w:sz w:val="24"/>
                <w:szCs w:val="24"/>
              </w:rPr>
              <w:t xml:space="preserve"> Reaching the standards of Germany, South Korea, and Singapore.</w:t>
            </w:r>
          </w:p>
        </w:tc>
      </w:tr>
      <w:tr w14:paraId="3F2D7867">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tcBorders>
              <w:top w:val="single" w:color="auto" w:sz="4" w:space="0"/>
              <w:left w:val="single" w:color="auto" w:sz="4" w:space="0"/>
              <w:bottom w:val="single" w:color="auto" w:sz="4" w:space="0"/>
              <w:right w:val="single" w:color="auto" w:sz="4" w:space="0"/>
            </w:tcBorders>
            <w:shd w:val="clear" w:color="auto" w:fill="auto"/>
            <w:tcMar>
              <w:top w:w="80" w:type="dxa"/>
              <w:left w:w="120" w:type="dxa"/>
              <w:bottom w:w="80" w:type="dxa"/>
              <w:right w:w="120" w:type="dxa"/>
            </w:tcMar>
            <w:vAlign w:val="center"/>
          </w:tcPr>
          <w:p w14:paraId="7766468E">
            <w:pPr>
              <w:keepNext w:val="0"/>
              <w:keepLines w:val="0"/>
              <w:widowControl/>
              <w:suppressLineNumbers w:val="0"/>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r>
              <w:rPr>
                <w:rFonts w:hint="default" w:ascii="Times New Roman" w:hAnsi="Times New Roman" w:eastAsia="sans-serif" w:cs="Times New Roman"/>
                <w:b/>
                <w:bCs/>
                <w:color w:val="1F1F1F"/>
                <w:kern w:val="0"/>
                <w:sz w:val="24"/>
                <w:szCs w:val="24"/>
                <w:lang w:val="en-US" w:eastAsia="zh-CN" w:bidi="ar"/>
              </w:rPr>
              <w:t>Feedback Loop</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80" w:type="dxa"/>
              <w:left w:w="120" w:type="dxa"/>
              <w:bottom w:w="80" w:type="dxa"/>
              <w:right w:w="120" w:type="dxa"/>
            </w:tcMar>
            <w:vAlign w:val="center"/>
          </w:tcPr>
          <w:p w14:paraId="44567F7D">
            <w:pPr>
              <w:pStyle w:val="9"/>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r>
              <w:rPr>
                <w:rFonts w:hint="default" w:ascii="Times New Roman" w:hAnsi="Times New Roman" w:eastAsia="sans-serif" w:cs="Times New Roman"/>
                <w:b/>
                <w:bCs/>
                <w:color w:val="1F1F1F"/>
                <w:sz w:val="24"/>
                <w:szCs w:val="24"/>
              </w:rPr>
              <w:t>Industry Validation:</w:t>
            </w:r>
            <w:r>
              <w:rPr>
                <w:rFonts w:hint="default" w:ascii="Times New Roman" w:hAnsi="Times New Roman" w:eastAsia="sans-serif" w:cs="Times New Roman"/>
                <w:color w:val="1F1F1F"/>
                <w:sz w:val="24"/>
                <w:szCs w:val="24"/>
              </w:rPr>
              <w:t xml:space="preserve"> Using employer feedback to continuously update curricula.</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80" w:type="dxa"/>
              <w:left w:w="120" w:type="dxa"/>
              <w:bottom w:w="80" w:type="dxa"/>
              <w:right w:w="120" w:type="dxa"/>
            </w:tcMar>
            <w:vAlign w:val="center"/>
          </w:tcPr>
          <w:p w14:paraId="1A10EEF8">
            <w:pPr>
              <w:pStyle w:val="9"/>
              <w:keepNext w:val="0"/>
              <w:keepLines w:val="0"/>
              <w:widowControl/>
              <w:suppressLineNumbers w:val="0"/>
              <w:pBdr>
                <w:top w:val="none" w:color="1F1F1F" w:sz="0" w:space="0"/>
                <w:left w:val="none" w:color="1F1F1F" w:sz="0" w:space="0"/>
                <w:bottom w:val="none" w:color="1F1F1F" w:sz="0" w:space="0"/>
                <w:right w:val="none" w:color="1F1F1F" w:sz="0" w:space="0"/>
              </w:pBdr>
              <w:bidi w:val="0"/>
              <w:spacing w:before="0" w:beforeAutospacing="0" w:after="0" w:afterAutospacing="0" w:line="12" w:lineRule="atLeast"/>
              <w:ind w:left="0" w:right="0"/>
              <w:jc w:val="both"/>
              <w:rPr>
                <w:rFonts w:hint="default" w:ascii="Times New Roman" w:hAnsi="Times New Roman" w:eastAsia="sans-serif" w:cs="Times New Roman"/>
                <w:color w:val="1F1F1F"/>
                <w:sz w:val="24"/>
                <w:szCs w:val="24"/>
              </w:rPr>
            </w:pPr>
            <w:r>
              <w:rPr>
                <w:rFonts w:hint="default" w:ascii="Times New Roman" w:hAnsi="Times New Roman" w:eastAsia="sans-serif" w:cs="Times New Roman"/>
                <w:b/>
                <w:bCs/>
                <w:color w:val="1F1F1F"/>
                <w:sz w:val="24"/>
                <w:szCs w:val="24"/>
              </w:rPr>
              <w:t>Agile Systems:</w:t>
            </w:r>
            <w:r>
              <w:rPr>
                <w:rFonts w:hint="default" w:ascii="Times New Roman" w:hAnsi="Times New Roman" w:eastAsia="sans-serif" w:cs="Times New Roman"/>
                <w:color w:val="1F1F1F"/>
                <w:sz w:val="24"/>
                <w:szCs w:val="24"/>
              </w:rPr>
              <w:t xml:space="preserve"> Ensuring TVET remains responsive to rapid industrial change.</w:t>
            </w:r>
          </w:p>
        </w:tc>
      </w:tr>
    </w:tbl>
    <w:p w14:paraId="13196194">
      <w:pPr>
        <w:jc w:val="both"/>
        <w:rPr>
          <w:rFonts w:hint="default" w:ascii="Times New Roman" w:hAnsi="Times New Roman" w:cs="Times New Roman"/>
          <w:sz w:val="24"/>
          <w:szCs w:val="24"/>
        </w:rPr>
      </w:pPr>
    </w:p>
    <w:p w14:paraId="78077207">
      <w:pPr>
        <w:spacing w:before="100" w:beforeAutospacing="1" w:after="100" w:afterAutospacing="1" w:line="240" w:lineRule="auto"/>
        <w:jc w:val="both"/>
        <w:outlineLvl w:val="1"/>
        <w:rPr>
          <w:rFonts w:hint="default" w:ascii="Times New Roman" w:hAnsi="Times New Roman" w:eastAsia="Times New Roman" w:cs="Times New Roman"/>
          <w:b/>
          <w:bCs/>
          <w:kern w:val="0"/>
          <w:sz w:val="24"/>
          <w:szCs w:val="24"/>
        </w:rPr>
      </w:pPr>
      <w:r>
        <w:rPr>
          <w:rFonts w:hint="default" w:ascii="Times New Roman" w:hAnsi="Times New Roman" w:eastAsia="Times New Roman" w:cs="Times New Roman"/>
          <w:b/>
          <w:bCs/>
          <w:kern w:val="0"/>
          <w:sz w:val="24"/>
          <w:szCs w:val="24"/>
        </w:rPr>
        <w:t>Methodology</w:t>
      </w:r>
    </w:p>
    <w:p w14:paraId="762A6CBC">
      <w:pPr>
        <w:spacing w:before="100" w:beforeAutospacing="1" w:after="100" w:afterAutospacing="1" w:line="240" w:lineRule="auto"/>
        <w:jc w:val="both"/>
        <w:outlineLvl w:val="2"/>
        <w:rPr>
          <w:rFonts w:hint="default" w:ascii="Times New Roman" w:hAnsi="Times New Roman" w:eastAsia="Times New Roman" w:cs="Times New Roman"/>
          <w:b/>
          <w:bCs/>
          <w:kern w:val="0"/>
          <w:sz w:val="24"/>
          <w:szCs w:val="24"/>
        </w:rPr>
      </w:pPr>
      <w:r>
        <w:rPr>
          <w:rFonts w:hint="default" w:ascii="Times New Roman" w:hAnsi="Times New Roman" w:eastAsia="Times New Roman" w:cs="Times New Roman"/>
          <w:b/>
          <w:bCs/>
          <w:kern w:val="0"/>
          <w:sz w:val="24"/>
          <w:szCs w:val="24"/>
        </w:rPr>
        <w:t>Research Design</w:t>
      </w:r>
    </w:p>
    <w:p w14:paraId="4551DAC8">
      <w:pPr>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This study adopted a Sequential Exploratory Mixed Methods Design, which involves two distinct but interconnected phases: an initial qualitative exploration followed by a quantitative validation phase. The design was selected to enable a deep understanding of the competencies and challenges associated with integrating Industry 4.0 technologies in TVET institutions. The qualitative findings informed the development of the quantitative instrument administered to a broader sample.</w:t>
      </w:r>
    </w:p>
    <w:p w14:paraId="5EF69719">
      <w:pPr>
        <w:pStyle w:val="2"/>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Population of the Study</w:t>
      </w:r>
    </w:p>
    <w:p w14:paraId="2274FC63">
      <w:pPr>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The study population comprised TVET educators and administrators from selected public polytechnics, technical colleges, and colleges of education in the South-South region of Nigeria. Participants included instructors, technologists, academic leaders, and senior administrators involved in curriculum planning and implementation.</w:t>
      </w:r>
    </w:p>
    <w:p w14:paraId="7B8AD409">
      <w:pPr>
        <w:pStyle w:val="2"/>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Sample and Sampling Technique</w:t>
      </w:r>
    </w:p>
    <w:p w14:paraId="66732603">
      <w:pPr>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A purposive sampling method was used in the qualitative phase to select 24 participants (12 educators and 12 administrators) across three institutions. For the quantitative phase, a stratified random sampling technique was applied to select 150 respondents, ensuring proportional representation across institutions and roles.</w:t>
      </w:r>
    </w:p>
    <w:p w14:paraId="4E008800">
      <w:pPr>
        <w:pStyle w:val="2"/>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Instruments for Data Collection</w:t>
      </w:r>
    </w:p>
    <w:p w14:paraId="4DC66A2D">
      <w:pPr>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In the qualitative phase, data were collected using a semi-structured interview guide designed to explore perceptions, experiences, and institutional practices related to Industry 4.0 integration. In the quantitative phase, a structured questionnaire was developed based on themes from the qualitative data and included six sections with Likert-scale items.</w:t>
      </w:r>
    </w:p>
    <w:p w14:paraId="7106D2BF">
      <w:pPr>
        <w:pStyle w:val="2"/>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Method of Data Collection</w:t>
      </w:r>
    </w:p>
    <w:p w14:paraId="438EC5CA">
      <w:pPr>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Interviews were conducted in person and online, depending on participant availability. Each interview lasted 30</w:t>
      </w:r>
      <w:r>
        <w:rPr>
          <w:rFonts w:hint="default" w:ascii="Times New Roman" w:hAnsi="Times New Roman" w:cs="Times New Roman"/>
          <w:sz w:val="24"/>
          <w:szCs w:val="24"/>
          <w:lang w:val="en-US"/>
        </w:rPr>
        <w:t xml:space="preserve"> - </w:t>
      </w:r>
      <w:r>
        <w:rPr>
          <w:rFonts w:hint="default" w:ascii="Times New Roman" w:hAnsi="Times New Roman" w:cs="Times New Roman"/>
          <w:sz w:val="24"/>
          <w:szCs w:val="24"/>
        </w:rPr>
        <w:t>45 minutes. The questionnaire was distributed electronically and in print, with follow-up visits to ensure adequate response rates.</w:t>
      </w:r>
    </w:p>
    <w:p w14:paraId="5349DBED">
      <w:pPr>
        <w:pStyle w:val="2"/>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Method of Data Analysis</w:t>
      </w:r>
    </w:p>
    <w:p w14:paraId="7FCEEE74">
      <w:pPr>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The data analysis process followed the sequential structure of the research design. In Phase I, qualitative data were analyzed using Braun and Clarke’s (2006) six-step model of thematic analysis:</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1. Familiarization with the data </w:t>
      </w:r>
      <w:r>
        <w:rPr>
          <w:rFonts w:hint="default" w:ascii="Times New Roman" w:hAnsi="Times New Roman" w:cs="Times New Roman"/>
          <w:sz w:val="24"/>
          <w:szCs w:val="24"/>
          <w:lang w:val="en-US"/>
        </w:rPr>
        <w:t>-</w:t>
      </w:r>
      <w:r>
        <w:rPr>
          <w:rFonts w:hint="default" w:ascii="Times New Roman" w:hAnsi="Times New Roman" w:cs="Times New Roman"/>
          <w:sz w:val="24"/>
          <w:szCs w:val="24"/>
        </w:rPr>
        <w:t xml:space="preserve"> Transcripts were read multiple times, and notes were taken to identify recurring ideas.</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2. Generating initial codes </w:t>
      </w:r>
      <w:r>
        <w:rPr>
          <w:rFonts w:hint="default" w:ascii="Times New Roman" w:hAnsi="Times New Roman" w:cs="Times New Roman"/>
          <w:sz w:val="24"/>
          <w:szCs w:val="24"/>
          <w:lang w:val="en-US"/>
        </w:rPr>
        <w:t>-</w:t>
      </w:r>
      <w:r>
        <w:rPr>
          <w:rFonts w:hint="default" w:ascii="Times New Roman" w:hAnsi="Times New Roman" w:cs="Times New Roman"/>
          <w:sz w:val="24"/>
          <w:szCs w:val="24"/>
        </w:rPr>
        <w:t xml:space="preserve"> Open coding was performed manually to label key phrases and ideas.</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3. Searching for themes </w:t>
      </w:r>
      <w:r>
        <w:rPr>
          <w:rFonts w:hint="default" w:ascii="Times New Roman" w:hAnsi="Times New Roman" w:cs="Times New Roman"/>
          <w:sz w:val="24"/>
          <w:szCs w:val="24"/>
          <w:lang w:val="en-US"/>
        </w:rPr>
        <w:t>-</w:t>
      </w:r>
      <w:r>
        <w:rPr>
          <w:rFonts w:hint="default" w:ascii="Times New Roman" w:hAnsi="Times New Roman" w:cs="Times New Roman"/>
          <w:sz w:val="24"/>
          <w:szCs w:val="24"/>
        </w:rPr>
        <w:t xml:space="preserve"> Similar codes were grouped into potential themes.</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4. Reviewing themes </w:t>
      </w:r>
      <w:r>
        <w:rPr>
          <w:rFonts w:hint="default" w:ascii="Times New Roman" w:hAnsi="Times New Roman" w:cs="Times New Roman"/>
          <w:sz w:val="24"/>
          <w:szCs w:val="24"/>
          <w:lang w:val="en-US"/>
        </w:rPr>
        <w:t>-</w:t>
      </w:r>
      <w:r>
        <w:rPr>
          <w:rFonts w:hint="default" w:ascii="Times New Roman" w:hAnsi="Times New Roman" w:cs="Times New Roman"/>
          <w:sz w:val="24"/>
          <w:szCs w:val="24"/>
        </w:rPr>
        <w:t xml:space="preserve"> Themes were checked against the dataset for consistency.</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5. Defining and naming themes </w:t>
      </w:r>
      <w:r>
        <w:rPr>
          <w:rFonts w:hint="default" w:ascii="Times New Roman" w:hAnsi="Times New Roman" w:cs="Times New Roman"/>
          <w:sz w:val="24"/>
          <w:szCs w:val="24"/>
          <w:lang w:val="en-US"/>
        </w:rPr>
        <w:t>-</w:t>
      </w:r>
      <w:r>
        <w:rPr>
          <w:rFonts w:hint="default" w:ascii="Times New Roman" w:hAnsi="Times New Roman" w:cs="Times New Roman"/>
          <w:sz w:val="24"/>
          <w:szCs w:val="24"/>
        </w:rPr>
        <w:t xml:space="preserve"> Final themes were clearly defined to represent the core meanings.</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6. Producing the report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Themes were reported with supporting quotes and linked to the research questions.</w:t>
      </w:r>
      <w:r>
        <w:rPr>
          <w:rFonts w:hint="default" w:ascii="Times New Roman" w:hAnsi="Times New Roman" w:cs="Times New Roman"/>
          <w:sz w:val="24"/>
          <w:szCs w:val="24"/>
        </w:rPr>
        <w:br w:type="textWrapping"/>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In Phase II, quantitative data were analyzed using SPSS. Descriptive statistics such as frequencies, means, and standard deviations were computed. Inferential analyses including chi-square tests and regression analysis were conducted to examine relationships among variables.</w:t>
      </w:r>
    </w:p>
    <w:p w14:paraId="322E5186">
      <w:pPr>
        <w:pStyle w:val="3"/>
        <w:keepNext w:val="0"/>
        <w:keepLines w:val="0"/>
        <w:widowControl/>
        <w:suppressLineNumbers w:val="0"/>
        <w:spacing w:before="0" w:beforeAutospacing="0" w:line="360" w:lineRule="auto"/>
        <w:jc w:val="both"/>
        <w:rPr>
          <w:rFonts w:hint="default" w:ascii="Times New Roman" w:hAnsi="Times New Roman" w:eastAsia="Times New Roman" w:cs="Times New Roman"/>
          <w:b/>
          <w:bCs/>
          <w:kern w:val="0"/>
          <w:sz w:val="24"/>
          <w:szCs w:val="24"/>
        </w:rPr>
      </w:pPr>
      <w:r>
        <w:rPr>
          <w:rFonts w:hint="default" w:ascii="Times New Roman" w:hAnsi="Times New Roman" w:eastAsia="sans-serif" w:cs="Times New Roman"/>
          <w:b/>
          <w:bCs/>
          <w:sz w:val="24"/>
          <w:szCs w:val="24"/>
        </w:rPr>
        <w:t>DATA PRESENTATION &amp; ANALYSIS</w:t>
      </w:r>
    </w:p>
    <w:p w14:paraId="5C0539F4">
      <w:pPr>
        <w:pStyle w:val="2"/>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Description of Participants (Qualitative Phase)</w:t>
      </w:r>
    </w:p>
    <w:p w14:paraId="730EF693">
      <w:pPr>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This section presents the profile of participants involved in the qualitative phase of the study. A total of 24 participants</w:t>
      </w:r>
      <w:r>
        <w:rPr>
          <w:rFonts w:hint="default" w:ascii="Times New Roman" w:hAnsi="Times New Roman" w:cs="Times New Roman"/>
          <w:sz w:val="24"/>
          <w:szCs w:val="24"/>
          <w:lang w:val="en-US"/>
        </w:rPr>
        <w:t xml:space="preserve"> - </w:t>
      </w:r>
      <w:r>
        <w:rPr>
          <w:rFonts w:hint="default" w:ascii="Times New Roman" w:hAnsi="Times New Roman" w:cs="Times New Roman"/>
          <w:sz w:val="24"/>
          <w:szCs w:val="24"/>
        </w:rPr>
        <w:t>12 educators and 12 administrators - were selected from various TVET institutions within the South-South region of Nigeria. The table below summarizes their roles, institutional affiliations, years of experience, and areas of specialization.</w:t>
      </w:r>
    </w:p>
    <w:p w14:paraId="6E18CF24">
      <w:pPr>
        <w:jc w:val="center"/>
        <w:rPr>
          <w:rFonts w:hint="default" w:ascii="Times New Roman" w:hAnsi="Times New Roman" w:cs="Times New Roman"/>
          <w:sz w:val="24"/>
          <w:szCs w:val="24"/>
        </w:rPr>
      </w:pPr>
      <w:r>
        <w:rPr>
          <w:rFonts w:hint="default" w:ascii="Sans Serif Collection" w:hAnsi="Sans Serif Collection" w:cs="Sans Serif Collection"/>
          <w:b/>
          <w:bCs/>
          <w:sz w:val="24"/>
          <w:szCs w:val="24"/>
        </w:rPr>
        <w:t xml:space="preserve">Table </w:t>
      </w:r>
      <w:r>
        <w:rPr>
          <w:rFonts w:hint="default" w:ascii="Sans Serif Collection" w:hAnsi="Sans Serif Collection" w:cs="Sans Serif Collection"/>
          <w:b/>
          <w:bCs/>
          <w:sz w:val="24"/>
          <w:szCs w:val="24"/>
          <w:lang w:val="en-US"/>
        </w:rPr>
        <w:t>2</w:t>
      </w:r>
      <w:r>
        <w:rPr>
          <w:rFonts w:hint="default" w:ascii="Sans Serif Collection" w:hAnsi="Sans Serif Collection" w:cs="Sans Serif Collection"/>
          <w:b/>
          <w:bCs/>
          <w:sz w:val="24"/>
          <w:szCs w:val="24"/>
        </w:rPr>
        <w:t>- Participants’ description</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1705"/>
        <w:gridCol w:w="1674"/>
        <w:gridCol w:w="1666"/>
        <w:gridCol w:w="1816"/>
      </w:tblGrid>
      <w:tr w14:paraId="377EF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E3A4CC9">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Participant Code</w:t>
            </w:r>
          </w:p>
        </w:tc>
        <w:tc>
          <w:tcPr>
            <w:tcW w:w="1728" w:type="dxa"/>
          </w:tcPr>
          <w:p w14:paraId="0C4DF0B0">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Role</w:t>
            </w:r>
          </w:p>
        </w:tc>
        <w:tc>
          <w:tcPr>
            <w:tcW w:w="1728" w:type="dxa"/>
          </w:tcPr>
          <w:p w14:paraId="43FD1D67">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Institution Type</w:t>
            </w:r>
          </w:p>
        </w:tc>
        <w:tc>
          <w:tcPr>
            <w:tcW w:w="1728" w:type="dxa"/>
          </w:tcPr>
          <w:p w14:paraId="56D09CE0">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Years of Experience</w:t>
            </w:r>
          </w:p>
        </w:tc>
        <w:tc>
          <w:tcPr>
            <w:tcW w:w="1728" w:type="dxa"/>
          </w:tcPr>
          <w:p w14:paraId="1A7C291F">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Specialization Area</w:t>
            </w:r>
          </w:p>
        </w:tc>
      </w:tr>
      <w:tr w14:paraId="111F5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6FD8C11F">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E1</w:t>
            </w:r>
          </w:p>
        </w:tc>
        <w:tc>
          <w:tcPr>
            <w:tcW w:w="1728" w:type="dxa"/>
          </w:tcPr>
          <w:p w14:paraId="26CD7884">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Educator</w:t>
            </w:r>
          </w:p>
        </w:tc>
        <w:tc>
          <w:tcPr>
            <w:tcW w:w="1728" w:type="dxa"/>
          </w:tcPr>
          <w:p w14:paraId="0F4BCEC2">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Polytechnic</w:t>
            </w:r>
          </w:p>
        </w:tc>
        <w:tc>
          <w:tcPr>
            <w:tcW w:w="1728" w:type="dxa"/>
          </w:tcPr>
          <w:p w14:paraId="7EF75751">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8</w:t>
            </w:r>
          </w:p>
        </w:tc>
        <w:tc>
          <w:tcPr>
            <w:tcW w:w="1728" w:type="dxa"/>
          </w:tcPr>
          <w:p w14:paraId="701C5EF9">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Mechatronics</w:t>
            </w:r>
          </w:p>
        </w:tc>
      </w:tr>
      <w:tr w14:paraId="699E0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7CD32D13">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E2</w:t>
            </w:r>
          </w:p>
        </w:tc>
        <w:tc>
          <w:tcPr>
            <w:tcW w:w="1728" w:type="dxa"/>
          </w:tcPr>
          <w:p w14:paraId="6E03BA61">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Educator</w:t>
            </w:r>
          </w:p>
        </w:tc>
        <w:tc>
          <w:tcPr>
            <w:tcW w:w="1728" w:type="dxa"/>
          </w:tcPr>
          <w:p w14:paraId="4F5208BE">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Technical College</w:t>
            </w:r>
          </w:p>
        </w:tc>
        <w:tc>
          <w:tcPr>
            <w:tcW w:w="1728" w:type="dxa"/>
          </w:tcPr>
          <w:p w14:paraId="4F7CA5D4">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11</w:t>
            </w:r>
          </w:p>
        </w:tc>
        <w:tc>
          <w:tcPr>
            <w:tcW w:w="1728" w:type="dxa"/>
          </w:tcPr>
          <w:p w14:paraId="30A3F93A">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Electrical Engineering</w:t>
            </w:r>
          </w:p>
        </w:tc>
      </w:tr>
      <w:tr w14:paraId="1D37D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7F7FA1E6">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E3</w:t>
            </w:r>
          </w:p>
        </w:tc>
        <w:tc>
          <w:tcPr>
            <w:tcW w:w="1728" w:type="dxa"/>
          </w:tcPr>
          <w:p w14:paraId="191F8E2A">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Educator</w:t>
            </w:r>
          </w:p>
        </w:tc>
        <w:tc>
          <w:tcPr>
            <w:tcW w:w="1728" w:type="dxa"/>
          </w:tcPr>
          <w:p w14:paraId="1BE819D0">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College of Education</w:t>
            </w:r>
          </w:p>
        </w:tc>
        <w:tc>
          <w:tcPr>
            <w:tcW w:w="1728" w:type="dxa"/>
          </w:tcPr>
          <w:p w14:paraId="50DD7274">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6</w:t>
            </w:r>
          </w:p>
        </w:tc>
        <w:tc>
          <w:tcPr>
            <w:tcW w:w="1728" w:type="dxa"/>
          </w:tcPr>
          <w:p w14:paraId="140625E3">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ICT/Automation</w:t>
            </w:r>
          </w:p>
        </w:tc>
      </w:tr>
      <w:tr w14:paraId="70BCA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63C12476">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E4</w:t>
            </w:r>
          </w:p>
        </w:tc>
        <w:tc>
          <w:tcPr>
            <w:tcW w:w="1728" w:type="dxa"/>
          </w:tcPr>
          <w:p w14:paraId="7AB363B4">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Educator</w:t>
            </w:r>
          </w:p>
        </w:tc>
        <w:tc>
          <w:tcPr>
            <w:tcW w:w="1728" w:type="dxa"/>
          </w:tcPr>
          <w:p w14:paraId="3326DD34">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Polytechnic</w:t>
            </w:r>
          </w:p>
        </w:tc>
        <w:tc>
          <w:tcPr>
            <w:tcW w:w="1728" w:type="dxa"/>
          </w:tcPr>
          <w:p w14:paraId="323384B6">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10</w:t>
            </w:r>
          </w:p>
        </w:tc>
        <w:tc>
          <w:tcPr>
            <w:tcW w:w="1728" w:type="dxa"/>
          </w:tcPr>
          <w:p w14:paraId="03D066F4">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Mechanical Technology</w:t>
            </w:r>
          </w:p>
        </w:tc>
      </w:tr>
      <w:tr w14:paraId="04FE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74D8027A">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E5</w:t>
            </w:r>
          </w:p>
        </w:tc>
        <w:tc>
          <w:tcPr>
            <w:tcW w:w="1728" w:type="dxa"/>
          </w:tcPr>
          <w:p w14:paraId="7D4270B2">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Educator</w:t>
            </w:r>
          </w:p>
        </w:tc>
        <w:tc>
          <w:tcPr>
            <w:tcW w:w="1728" w:type="dxa"/>
          </w:tcPr>
          <w:p w14:paraId="09B3CC08">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Technical College</w:t>
            </w:r>
          </w:p>
        </w:tc>
        <w:tc>
          <w:tcPr>
            <w:tcW w:w="1728" w:type="dxa"/>
          </w:tcPr>
          <w:p w14:paraId="0AF1C2C0">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7</w:t>
            </w:r>
          </w:p>
        </w:tc>
        <w:tc>
          <w:tcPr>
            <w:tcW w:w="1728" w:type="dxa"/>
          </w:tcPr>
          <w:p w14:paraId="029A51B5">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Welding &amp; Fabrication</w:t>
            </w:r>
          </w:p>
        </w:tc>
      </w:tr>
      <w:tr w14:paraId="57ABB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1721352A">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E6</w:t>
            </w:r>
          </w:p>
        </w:tc>
        <w:tc>
          <w:tcPr>
            <w:tcW w:w="1728" w:type="dxa"/>
          </w:tcPr>
          <w:p w14:paraId="60BD58CC">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Educator</w:t>
            </w:r>
          </w:p>
        </w:tc>
        <w:tc>
          <w:tcPr>
            <w:tcW w:w="1728" w:type="dxa"/>
          </w:tcPr>
          <w:p w14:paraId="50B82EBC">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College of Education</w:t>
            </w:r>
          </w:p>
        </w:tc>
        <w:tc>
          <w:tcPr>
            <w:tcW w:w="1728" w:type="dxa"/>
          </w:tcPr>
          <w:p w14:paraId="7DBA07DC">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12</w:t>
            </w:r>
          </w:p>
        </w:tc>
        <w:tc>
          <w:tcPr>
            <w:tcW w:w="1728" w:type="dxa"/>
          </w:tcPr>
          <w:p w14:paraId="78BB65BD">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Building Technology</w:t>
            </w:r>
          </w:p>
        </w:tc>
      </w:tr>
      <w:tr w14:paraId="120F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7B3342CF">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E7</w:t>
            </w:r>
          </w:p>
        </w:tc>
        <w:tc>
          <w:tcPr>
            <w:tcW w:w="1728" w:type="dxa"/>
          </w:tcPr>
          <w:p w14:paraId="4DE335BD">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Educator</w:t>
            </w:r>
          </w:p>
        </w:tc>
        <w:tc>
          <w:tcPr>
            <w:tcW w:w="1728" w:type="dxa"/>
          </w:tcPr>
          <w:p w14:paraId="5D76F811">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Polytechnic</w:t>
            </w:r>
          </w:p>
        </w:tc>
        <w:tc>
          <w:tcPr>
            <w:tcW w:w="1728" w:type="dxa"/>
          </w:tcPr>
          <w:p w14:paraId="22968E4A">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5</w:t>
            </w:r>
          </w:p>
        </w:tc>
        <w:tc>
          <w:tcPr>
            <w:tcW w:w="1728" w:type="dxa"/>
          </w:tcPr>
          <w:p w14:paraId="7F2050D9">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Automobile Technology</w:t>
            </w:r>
          </w:p>
        </w:tc>
      </w:tr>
      <w:tr w14:paraId="305EC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1DB8F08A">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E8</w:t>
            </w:r>
          </w:p>
        </w:tc>
        <w:tc>
          <w:tcPr>
            <w:tcW w:w="1728" w:type="dxa"/>
          </w:tcPr>
          <w:p w14:paraId="11428243">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Educator</w:t>
            </w:r>
          </w:p>
        </w:tc>
        <w:tc>
          <w:tcPr>
            <w:tcW w:w="1728" w:type="dxa"/>
          </w:tcPr>
          <w:p w14:paraId="649FE28A">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Technical College</w:t>
            </w:r>
          </w:p>
        </w:tc>
        <w:tc>
          <w:tcPr>
            <w:tcW w:w="1728" w:type="dxa"/>
          </w:tcPr>
          <w:p w14:paraId="1AE96E9E">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13</w:t>
            </w:r>
          </w:p>
        </w:tc>
        <w:tc>
          <w:tcPr>
            <w:tcW w:w="1728" w:type="dxa"/>
          </w:tcPr>
          <w:p w14:paraId="09EECFC7">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Electrical Installation</w:t>
            </w:r>
          </w:p>
        </w:tc>
      </w:tr>
      <w:tr w14:paraId="5974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715F930">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E9</w:t>
            </w:r>
          </w:p>
        </w:tc>
        <w:tc>
          <w:tcPr>
            <w:tcW w:w="1728" w:type="dxa"/>
          </w:tcPr>
          <w:p w14:paraId="4E3E9807">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Educator</w:t>
            </w:r>
          </w:p>
        </w:tc>
        <w:tc>
          <w:tcPr>
            <w:tcW w:w="1728" w:type="dxa"/>
          </w:tcPr>
          <w:p w14:paraId="27C96F50">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Polytechnic</w:t>
            </w:r>
          </w:p>
        </w:tc>
        <w:tc>
          <w:tcPr>
            <w:tcW w:w="1728" w:type="dxa"/>
          </w:tcPr>
          <w:p w14:paraId="7DFF100B">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9</w:t>
            </w:r>
          </w:p>
        </w:tc>
        <w:tc>
          <w:tcPr>
            <w:tcW w:w="1728" w:type="dxa"/>
          </w:tcPr>
          <w:p w14:paraId="609AE146">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Civil Engineering</w:t>
            </w:r>
          </w:p>
        </w:tc>
      </w:tr>
      <w:tr w14:paraId="1218B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786DB642">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E10</w:t>
            </w:r>
          </w:p>
        </w:tc>
        <w:tc>
          <w:tcPr>
            <w:tcW w:w="1728" w:type="dxa"/>
          </w:tcPr>
          <w:p w14:paraId="22CCD5E7">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Educator</w:t>
            </w:r>
          </w:p>
        </w:tc>
        <w:tc>
          <w:tcPr>
            <w:tcW w:w="1728" w:type="dxa"/>
          </w:tcPr>
          <w:p w14:paraId="685F8228">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College of Education</w:t>
            </w:r>
          </w:p>
        </w:tc>
        <w:tc>
          <w:tcPr>
            <w:tcW w:w="1728" w:type="dxa"/>
          </w:tcPr>
          <w:p w14:paraId="67D07709">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14</w:t>
            </w:r>
          </w:p>
        </w:tc>
        <w:tc>
          <w:tcPr>
            <w:tcW w:w="1728" w:type="dxa"/>
          </w:tcPr>
          <w:p w14:paraId="3961A0D3">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Computer Engineering</w:t>
            </w:r>
          </w:p>
        </w:tc>
      </w:tr>
      <w:tr w14:paraId="2B61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27F42923">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E11</w:t>
            </w:r>
          </w:p>
        </w:tc>
        <w:tc>
          <w:tcPr>
            <w:tcW w:w="1728" w:type="dxa"/>
          </w:tcPr>
          <w:p w14:paraId="69666F14">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Educator</w:t>
            </w:r>
          </w:p>
        </w:tc>
        <w:tc>
          <w:tcPr>
            <w:tcW w:w="1728" w:type="dxa"/>
          </w:tcPr>
          <w:p w14:paraId="37B79D42">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Technical College</w:t>
            </w:r>
          </w:p>
        </w:tc>
        <w:tc>
          <w:tcPr>
            <w:tcW w:w="1728" w:type="dxa"/>
          </w:tcPr>
          <w:p w14:paraId="26602083">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15</w:t>
            </w:r>
          </w:p>
        </w:tc>
        <w:tc>
          <w:tcPr>
            <w:tcW w:w="1728" w:type="dxa"/>
          </w:tcPr>
          <w:p w14:paraId="4B43BE3B">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Agricultural Technology</w:t>
            </w:r>
          </w:p>
        </w:tc>
      </w:tr>
      <w:tr w14:paraId="446B2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CCE91A2">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E12</w:t>
            </w:r>
          </w:p>
        </w:tc>
        <w:tc>
          <w:tcPr>
            <w:tcW w:w="1728" w:type="dxa"/>
          </w:tcPr>
          <w:p w14:paraId="6816CA5D">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Educator</w:t>
            </w:r>
          </w:p>
        </w:tc>
        <w:tc>
          <w:tcPr>
            <w:tcW w:w="1728" w:type="dxa"/>
          </w:tcPr>
          <w:p w14:paraId="491386CB">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Polytechnic</w:t>
            </w:r>
          </w:p>
        </w:tc>
        <w:tc>
          <w:tcPr>
            <w:tcW w:w="1728" w:type="dxa"/>
          </w:tcPr>
          <w:p w14:paraId="0F659A72">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10</w:t>
            </w:r>
          </w:p>
        </w:tc>
        <w:tc>
          <w:tcPr>
            <w:tcW w:w="1728" w:type="dxa"/>
          </w:tcPr>
          <w:p w14:paraId="6A543A6B">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Instrumentation Technology</w:t>
            </w:r>
          </w:p>
        </w:tc>
      </w:tr>
      <w:tr w14:paraId="384CB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C3D70D2">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A1</w:t>
            </w:r>
          </w:p>
        </w:tc>
        <w:tc>
          <w:tcPr>
            <w:tcW w:w="1728" w:type="dxa"/>
          </w:tcPr>
          <w:p w14:paraId="7966BB82">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Administrator</w:t>
            </w:r>
          </w:p>
        </w:tc>
        <w:tc>
          <w:tcPr>
            <w:tcW w:w="1728" w:type="dxa"/>
          </w:tcPr>
          <w:p w14:paraId="4FEBADB5">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Polytechnic</w:t>
            </w:r>
          </w:p>
        </w:tc>
        <w:tc>
          <w:tcPr>
            <w:tcW w:w="1728" w:type="dxa"/>
          </w:tcPr>
          <w:p w14:paraId="50D7F57E">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18</w:t>
            </w:r>
          </w:p>
        </w:tc>
        <w:tc>
          <w:tcPr>
            <w:tcW w:w="1728" w:type="dxa"/>
          </w:tcPr>
          <w:p w14:paraId="30FD850D">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Academic Planning</w:t>
            </w:r>
          </w:p>
        </w:tc>
      </w:tr>
      <w:tr w14:paraId="32F0A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7F03C653">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A2</w:t>
            </w:r>
          </w:p>
        </w:tc>
        <w:tc>
          <w:tcPr>
            <w:tcW w:w="1728" w:type="dxa"/>
          </w:tcPr>
          <w:p w14:paraId="0B025929">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Administrator</w:t>
            </w:r>
          </w:p>
        </w:tc>
        <w:tc>
          <w:tcPr>
            <w:tcW w:w="1728" w:type="dxa"/>
          </w:tcPr>
          <w:p w14:paraId="1EAB6192">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Technical College</w:t>
            </w:r>
          </w:p>
        </w:tc>
        <w:tc>
          <w:tcPr>
            <w:tcW w:w="1728" w:type="dxa"/>
          </w:tcPr>
          <w:p w14:paraId="1304FB75">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16</w:t>
            </w:r>
          </w:p>
        </w:tc>
        <w:tc>
          <w:tcPr>
            <w:tcW w:w="1728" w:type="dxa"/>
          </w:tcPr>
          <w:p w14:paraId="3B03FA82">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TVET Regulation</w:t>
            </w:r>
          </w:p>
        </w:tc>
      </w:tr>
      <w:tr w14:paraId="49C0E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265E0F6B">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A3</w:t>
            </w:r>
          </w:p>
        </w:tc>
        <w:tc>
          <w:tcPr>
            <w:tcW w:w="1728" w:type="dxa"/>
          </w:tcPr>
          <w:p w14:paraId="4F9C042C">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Administrator</w:t>
            </w:r>
          </w:p>
        </w:tc>
        <w:tc>
          <w:tcPr>
            <w:tcW w:w="1728" w:type="dxa"/>
          </w:tcPr>
          <w:p w14:paraId="4DBC69A9">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College of Education</w:t>
            </w:r>
          </w:p>
        </w:tc>
        <w:tc>
          <w:tcPr>
            <w:tcW w:w="1728" w:type="dxa"/>
          </w:tcPr>
          <w:p w14:paraId="3933EB6E">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14</w:t>
            </w:r>
          </w:p>
        </w:tc>
        <w:tc>
          <w:tcPr>
            <w:tcW w:w="1728" w:type="dxa"/>
          </w:tcPr>
          <w:p w14:paraId="52247007">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Curriculum Development</w:t>
            </w:r>
          </w:p>
        </w:tc>
      </w:tr>
      <w:tr w14:paraId="50B25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6EF54175">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A4</w:t>
            </w:r>
          </w:p>
        </w:tc>
        <w:tc>
          <w:tcPr>
            <w:tcW w:w="1728" w:type="dxa"/>
          </w:tcPr>
          <w:p w14:paraId="062B7497">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Administrator</w:t>
            </w:r>
          </w:p>
        </w:tc>
        <w:tc>
          <w:tcPr>
            <w:tcW w:w="1728" w:type="dxa"/>
          </w:tcPr>
          <w:p w14:paraId="45A4FDE4">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Polytechnic</w:t>
            </w:r>
          </w:p>
        </w:tc>
        <w:tc>
          <w:tcPr>
            <w:tcW w:w="1728" w:type="dxa"/>
          </w:tcPr>
          <w:p w14:paraId="62FC1FE9">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20</w:t>
            </w:r>
          </w:p>
        </w:tc>
        <w:tc>
          <w:tcPr>
            <w:tcW w:w="1728" w:type="dxa"/>
          </w:tcPr>
          <w:p w14:paraId="66F392C4">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Quality Assurance</w:t>
            </w:r>
          </w:p>
        </w:tc>
      </w:tr>
      <w:tr w14:paraId="1E61B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4F97C95">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A5</w:t>
            </w:r>
          </w:p>
        </w:tc>
        <w:tc>
          <w:tcPr>
            <w:tcW w:w="1728" w:type="dxa"/>
          </w:tcPr>
          <w:p w14:paraId="158AF2DC">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Administrator</w:t>
            </w:r>
          </w:p>
        </w:tc>
        <w:tc>
          <w:tcPr>
            <w:tcW w:w="1728" w:type="dxa"/>
          </w:tcPr>
          <w:p w14:paraId="299AC04F">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Technical College</w:t>
            </w:r>
          </w:p>
        </w:tc>
        <w:tc>
          <w:tcPr>
            <w:tcW w:w="1728" w:type="dxa"/>
          </w:tcPr>
          <w:p w14:paraId="78EC06F1">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11</w:t>
            </w:r>
          </w:p>
        </w:tc>
        <w:tc>
          <w:tcPr>
            <w:tcW w:w="1728" w:type="dxa"/>
          </w:tcPr>
          <w:p w14:paraId="26538A20">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Program Coordination</w:t>
            </w:r>
          </w:p>
        </w:tc>
      </w:tr>
      <w:tr w14:paraId="14CB7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25F57AC">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A6</w:t>
            </w:r>
          </w:p>
        </w:tc>
        <w:tc>
          <w:tcPr>
            <w:tcW w:w="1728" w:type="dxa"/>
          </w:tcPr>
          <w:p w14:paraId="0D011C48">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Administrator</w:t>
            </w:r>
          </w:p>
        </w:tc>
        <w:tc>
          <w:tcPr>
            <w:tcW w:w="1728" w:type="dxa"/>
          </w:tcPr>
          <w:p w14:paraId="37E8A562">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College of Education</w:t>
            </w:r>
          </w:p>
        </w:tc>
        <w:tc>
          <w:tcPr>
            <w:tcW w:w="1728" w:type="dxa"/>
          </w:tcPr>
          <w:p w14:paraId="624674D0">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9</w:t>
            </w:r>
          </w:p>
        </w:tc>
        <w:tc>
          <w:tcPr>
            <w:tcW w:w="1728" w:type="dxa"/>
          </w:tcPr>
          <w:p w14:paraId="1D75EAF6">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Assessment &amp; Evaluation</w:t>
            </w:r>
          </w:p>
        </w:tc>
      </w:tr>
      <w:tr w14:paraId="73DF1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233B4824">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A7</w:t>
            </w:r>
          </w:p>
        </w:tc>
        <w:tc>
          <w:tcPr>
            <w:tcW w:w="1728" w:type="dxa"/>
          </w:tcPr>
          <w:p w14:paraId="1D4DF75D">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Administrator</w:t>
            </w:r>
          </w:p>
        </w:tc>
        <w:tc>
          <w:tcPr>
            <w:tcW w:w="1728" w:type="dxa"/>
          </w:tcPr>
          <w:p w14:paraId="217FFA90">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Polytechnic</w:t>
            </w:r>
          </w:p>
        </w:tc>
        <w:tc>
          <w:tcPr>
            <w:tcW w:w="1728" w:type="dxa"/>
          </w:tcPr>
          <w:p w14:paraId="18C7B4DB">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13</w:t>
            </w:r>
          </w:p>
        </w:tc>
        <w:tc>
          <w:tcPr>
            <w:tcW w:w="1728" w:type="dxa"/>
          </w:tcPr>
          <w:p w14:paraId="742B0695">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Policy Implementation</w:t>
            </w:r>
          </w:p>
        </w:tc>
      </w:tr>
      <w:tr w14:paraId="27E21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49F78E4">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A8</w:t>
            </w:r>
          </w:p>
        </w:tc>
        <w:tc>
          <w:tcPr>
            <w:tcW w:w="1728" w:type="dxa"/>
          </w:tcPr>
          <w:p w14:paraId="785C898E">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Administrator</w:t>
            </w:r>
          </w:p>
        </w:tc>
        <w:tc>
          <w:tcPr>
            <w:tcW w:w="1728" w:type="dxa"/>
          </w:tcPr>
          <w:p w14:paraId="6A3DA02A">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Technical College</w:t>
            </w:r>
          </w:p>
        </w:tc>
        <w:tc>
          <w:tcPr>
            <w:tcW w:w="1728" w:type="dxa"/>
          </w:tcPr>
          <w:p w14:paraId="57BB9AE8">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8</w:t>
            </w:r>
          </w:p>
        </w:tc>
        <w:tc>
          <w:tcPr>
            <w:tcW w:w="1728" w:type="dxa"/>
          </w:tcPr>
          <w:p w14:paraId="362E7F0E">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TVET Policy</w:t>
            </w:r>
          </w:p>
        </w:tc>
      </w:tr>
      <w:tr w14:paraId="1B37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5E4225C5">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A9</w:t>
            </w:r>
          </w:p>
        </w:tc>
        <w:tc>
          <w:tcPr>
            <w:tcW w:w="1728" w:type="dxa"/>
          </w:tcPr>
          <w:p w14:paraId="3D06297B">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Administrator</w:t>
            </w:r>
          </w:p>
        </w:tc>
        <w:tc>
          <w:tcPr>
            <w:tcW w:w="1728" w:type="dxa"/>
          </w:tcPr>
          <w:p w14:paraId="291C7C28">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College of Education</w:t>
            </w:r>
          </w:p>
        </w:tc>
        <w:tc>
          <w:tcPr>
            <w:tcW w:w="1728" w:type="dxa"/>
          </w:tcPr>
          <w:p w14:paraId="3FC4E4EF">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12</w:t>
            </w:r>
          </w:p>
        </w:tc>
        <w:tc>
          <w:tcPr>
            <w:tcW w:w="1728" w:type="dxa"/>
          </w:tcPr>
          <w:p w14:paraId="744EDD6A">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Staff Development</w:t>
            </w:r>
          </w:p>
        </w:tc>
      </w:tr>
      <w:tr w14:paraId="4BC0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5C73A4EE">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A10</w:t>
            </w:r>
          </w:p>
        </w:tc>
        <w:tc>
          <w:tcPr>
            <w:tcW w:w="1728" w:type="dxa"/>
          </w:tcPr>
          <w:p w14:paraId="02B44792">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Administrator</w:t>
            </w:r>
          </w:p>
        </w:tc>
        <w:tc>
          <w:tcPr>
            <w:tcW w:w="1728" w:type="dxa"/>
          </w:tcPr>
          <w:p w14:paraId="265959E1">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Polytechnic</w:t>
            </w:r>
          </w:p>
        </w:tc>
        <w:tc>
          <w:tcPr>
            <w:tcW w:w="1728" w:type="dxa"/>
          </w:tcPr>
          <w:p w14:paraId="2811E2AF">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10</w:t>
            </w:r>
          </w:p>
        </w:tc>
        <w:tc>
          <w:tcPr>
            <w:tcW w:w="1728" w:type="dxa"/>
          </w:tcPr>
          <w:p w14:paraId="2C32FCAD">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Institutional Management</w:t>
            </w:r>
          </w:p>
        </w:tc>
      </w:tr>
      <w:tr w14:paraId="33ED6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29FF8098">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A11</w:t>
            </w:r>
          </w:p>
        </w:tc>
        <w:tc>
          <w:tcPr>
            <w:tcW w:w="1728" w:type="dxa"/>
          </w:tcPr>
          <w:p w14:paraId="4FC356A9">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Administrator</w:t>
            </w:r>
          </w:p>
        </w:tc>
        <w:tc>
          <w:tcPr>
            <w:tcW w:w="1728" w:type="dxa"/>
          </w:tcPr>
          <w:p w14:paraId="070F1511">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Technical College</w:t>
            </w:r>
          </w:p>
        </w:tc>
        <w:tc>
          <w:tcPr>
            <w:tcW w:w="1728" w:type="dxa"/>
          </w:tcPr>
          <w:p w14:paraId="769DB56B">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7</w:t>
            </w:r>
          </w:p>
        </w:tc>
        <w:tc>
          <w:tcPr>
            <w:tcW w:w="1728" w:type="dxa"/>
          </w:tcPr>
          <w:p w14:paraId="1C60388F">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Workshop Supervision</w:t>
            </w:r>
          </w:p>
        </w:tc>
      </w:tr>
      <w:tr w14:paraId="25ED6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028F014">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A12</w:t>
            </w:r>
          </w:p>
        </w:tc>
        <w:tc>
          <w:tcPr>
            <w:tcW w:w="1728" w:type="dxa"/>
          </w:tcPr>
          <w:p w14:paraId="45F2332C">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Administrator</w:t>
            </w:r>
          </w:p>
        </w:tc>
        <w:tc>
          <w:tcPr>
            <w:tcW w:w="1728" w:type="dxa"/>
          </w:tcPr>
          <w:p w14:paraId="7B05E9EE">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College of Education</w:t>
            </w:r>
          </w:p>
        </w:tc>
        <w:tc>
          <w:tcPr>
            <w:tcW w:w="1728" w:type="dxa"/>
          </w:tcPr>
          <w:p w14:paraId="56DC7381">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15</w:t>
            </w:r>
          </w:p>
        </w:tc>
        <w:tc>
          <w:tcPr>
            <w:tcW w:w="1728" w:type="dxa"/>
          </w:tcPr>
          <w:p w14:paraId="16776AF6">
            <w:pPr>
              <w:spacing w:after="0" w:line="240" w:lineRule="auto"/>
              <w:jc w:val="both"/>
              <w:rPr>
                <w:rFonts w:hint="default" w:ascii="Times New Roman" w:hAnsi="Times New Roman" w:eastAsia="SimSun" w:cs="Times New Roman"/>
                <w:kern w:val="0"/>
                <w:sz w:val="24"/>
                <w:szCs w:val="24"/>
              </w:rPr>
            </w:pPr>
            <w:r>
              <w:rPr>
                <w:rFonts w:hint="default" w:ascii="Times New Roman" w:hAnsi="Times New Roman" w:eastAsia="SimSun" w:cs="Times New Roman"/>
                <w:kern w:val="0"/>
                <w:sz w:val="24"/>
                <w:szCs w:val="24"/>
              </w:rPr>
              <w:t>Research &amp; Innovation</w:t>
            </w:r>
          </w:p>
        </w:tc>
      </w:tr>
    </w:tbl>
    <w:p w14:paraId="6763918C">
      <w:pPr>
        <w:pStyle w:val="9"/>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The data analysis process followed the sequential structure of the research design. In Phase I, qualitative data were analyzed using Braun and Clarke’s (2006) six-step model of thematic analysis:</w:t>
      </w:r>
      <w:r>
        <w:rPr>
          <w:rFonts w:hint="default" w:ascii="Times New Roman" w:hAnsi="Times New Roman" w:cs="Times New Roman"/>
          <w:sz w:val="24"/>
          <w:szCs w:val="24"/>
        </w:rPr>
        <w:br w:type="textWrapping"/>
      </w:r>
      <w:r>
        <w:rPr>
          <w:rFonts w:hint="default" w:ascii="Times New Roman" w:hAnsi="Times New Roman" w:cs="Times New Roman"/>
          <w:sz w:val="24"/>
          <w:szCs w:val="24"/>
        </w:rPr>
        <w:t>1. Familiarization with the data – Transcripts were read multiple times, and notes were taken to identify recurring ideas.</w:t>
      </w:r>
      <w:r>
        <w:rPr>
          <w:rFonts w:hint="default" w:ascii="Times New Roman" w:hAnsi="Times New Roman" w:cs="Times New Roman"/>
          <w:sz w:val="24"/>
          <w:szCs w:val="24"/>
        </w:rPr>
        <w:br w:type="textWrapping"/>
      </w:r>
      <w:r>
        <w:rPr>
          <w:rFonts w:hint="default" w:ascii="Times New Roman" w:hAnsi="Times New Roman" w:cs="Times New Roman"/>
          <w:sz w:val="24"/>
          <w:szCs w:val="24"/>
        </w:rPr>
        <w:t>2. Generating initial codes – Open coding was performed manually to label key phrases and ideas.</w:t>
      </w:r>
      <w:r>
        <w:rPr>
          <w:rFonts w:hint="default" w:ascii="Times New Roman" w:hAnsi="Times New Roman" w:cs="Times New Roman"/>
          <w:sz w:val="24"/>
          <w:szCs w:val="24"/>
        </w:rPr>
        <w:br w:type="textWrapping"/>
      </w:r>
      <w:r>
        <w:rPr>
          <w:rFonts w:hint="default" w:ascii="Times New Roman" w:hAnsi="Times New Roman" w:cs="Times New Roman"/>
          <w:sz w:val="24"/>
          <w:szCs w:val="24"/>
        </w:rPr>
        <w:t>3. Searching for themes – Similar codes were grouped into potential themes.</w:t>
      </w:r>
      <w:r>
        <w:rPr>
          <w:rFonts w:hint="default" w:ascii="Times New Roman" w:hAnsi="Times New Roman" w:cs="Times New Roman"/>
          <w:sz w:val="24"/>
          <w:szCs w:val="24"/>
        </w:rPr>
        <w:br w:type="textWrapping"/>
      </w:r>
      <w:r>
        <w:rPr>
          <w:rFonts w:hint="default" w:ascii="Times New Roman" w:hAnsi="Times New Roman" w:cs="Times New Roman"/>
          <w:sz w:val="24"/>
          <w:szCs w:val="24"/>
        </w:rPr>
        <w:t>4. Reviewing themes – Themes were checked against the dataset for consistency.</w:t>
      </w:r>
      <w:r>
        <w:rPr>
          <w:rFonts w:hint="default" w:ascii="Times New Roman" w:hAnsi="Times New Roman" w:cs="Times New Roman"/>
          <w:sz w:val="24"/>
          <w:szCs w:val="24"/>
        </w:rPr>
        <w:br w:type="textWrapping"/>
      </w:r>
      <w:r>
        <w:rPr>
          <w:rFonts w:hint="default" w:ascii="Times New Roman" w:hAnsi="Times New Roman" w:cs="Times New Roman"/>
          <w:sz w:val="24"/>
          <w:szCs w:val="24"/>
        </w:rPr>
        <w:t>5. Defining and naming themes – Final themes were clearly defined to represent the core meanings.</w:t>
      </w:r>
      <w:r>
        <w:rPr>
          <w:rFonts w:hint="default" w:ascii="Times New Roman" w:hAnsi="Times New Roman" w:cs="Times New Roman"/>
          <w:sz w:val="24"/>
          <w:szCs w:val="24"/>
        </w:rPr>
        <w:br w:type="textWrapping"/>
      </w:r>
      <w:r>
        <w:rPr>
          <w:rFonts w:hint="default" w:ascii="Times New Roman" w:hAnsi="Times New Roman" w:cs="Times New Roman"/>
          <w:sz w:val="24"/>
          <w:szCs w:val="24"/>
        </w:rPr>
        <w:t>6. Producing the report – Themes were reported with supporting quotes and linked to the research questions.</w:t>
      </w:r>
    </w:p>
    <w:p w14:paraId="2A321E74">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 xml:space="preserve">The following themes emerged from the qualitative interviews conducted with TVET educators and administrators across South-South Nigeria. These themes reflect shared perspectives on </w:t>
      </w:r>
      <w:r>
        <w:rPr>
          <w:rFonts w:hint="default" w:ascii="Times New Roman" w:hAnsi="Times New Roman" w:cs="Times New Roman"/>
          <w:sz w:val="24"/>
          <w:szCs w:val="24"/>
        </w:rPr>
        <w:t xml:space="preserve">Administrative Barriers to Integrating Industry 4.0, Strengthening Industry Involvement in TVET, Strategies for Driving Digital Transformation, Role of Government Agencies in Scaling Industry 4.0 Readiness, Specific Support Required by TVET Administrators for Industry 4.0 Reforms, Improving and Sustaining Partnerships with Private Tech Companies, Prioritized Training and Development Programs for Staff, Challenges in Motivating Staff to Adopt Smart Technologies, and Policy Framework Revisions to Support TVET Innovation and Modernization. </w:t>
      </w:r>
      <w:r>
        <w:rPr>
          <w:rFonts w:hint="default" w:ascii="Times New Roman" w:hAnsi="Times New Roman" w:eastAsia="Times New Roman" w:cs="Times New Roman"/>
          <w:kern w:val="0"/>
          <w:sz w:val="24"/>
          <w:szCs w:val="24"/>
        </w:rPr>
        <w:t>.</w:t>
      </w:r>
    </w:p>
    <w:p w14:paraId="4BF8ABD2">
      <w:pPr>
        <w:spacing w:before="100" w:beforeAutospacing="1" w:after="100" w:afterAutospacing="1" w:line="360" w:lineRule="auto"/>
        <w:jc w:val="both"/>
        <w:outlineLvl w:val="2"/>
        <w:rPr>
          <w:rFonts w:hint="default" w:ascii="Times New Roman" w:hAnsi="Times New Roman" w:eastAsia="Times New Roman" w:cs="Times New Roman"/>
          <w:b/>
          <w:bCs/>
          <w:kern w:val="0"/>
          <w:sz w:val="24"/>
          <w:szCs w:val="24"/>
        </w:rPr>
      </w:pPr>
      <w:r>
        <w:rPr>
          <w:rFonts w:hint="default" w:ascii="Times New Roman" w:hAnsi="Times New Roman" w:eastAsia="Times New Roman" w:cs="Times New Roman"/>
          <w:b/>
          <w:bCs/>
          <w:kern w:val="0"/>
          <w:sz w:val="24"/>
          <w:szCs w:val="24"/>
        </w:rPr>
        <w:t>Theme 1: Competencies Required for Industry 4.0 Integration</w:t>
      </w:r>
    </w:p>
    <w:p w14:paraId="288C16F0">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 xml:space="preserve">Participants emphasized the need for skills in </w:t>
      </w:r>
      <w:r>
        <w:rPr>
          <w:rFonts w:hint="default" w:ascii="Times New Roman" w:hAnsi="Times New Roman" w:eastAsia="Times New Roman" w:cs="Times New Roman"/>
          <w:b/>
          <w:bCs/>
          <w:kern w:val="0"/>
          <w:sz w:val="24"/>
          <w:szCs w:val="24"/>
        </w:rPr>
        <w:t>digital literacy</w:t>
      </w:r>
      <w:r>
        <w:rPr>
          <w:rFonts w:hint="default" w:ascii="Times New Roman" w:hAnsi="Times New Roman" w:eastAsia="Times New Roman" w:cs="Times New Roman"/>
          <w:kern w:val="0"/>
          <w:sz w:val="24"/>
          <w:szCs w:val="24"/>
        </w:rPr>
        <w:t xml:space="preserve">, </w:t>
      </w:r>
      <w:r>
        <w:rPr>
          <w:rFonts w:hint="default" w:ascii="Times New Roman" w:hAnsi="Times New Roman" w:eastAsia="Times New Roman" w:cs="Times New Roman"/>
          <w:b/>
          <w:bCs/>
          <w:kern w:val="0"/>
          <w:sz w:val="24"/>
          <w:szCs w:val="24"/>
        </w:rPr>
        <w:t>automation</w:t>
      </w:r>
      <w:r>
        <w:rPr>
          <w:rFonts w:hint="default" w:ascii="Times New Roman" w:hAnsi="Times New Roman" w:eastAsia="Times New Roman" w:cs="Times New Roman"/>
          <w:kern w:val="0"/>
          <w:sz w:val="24"/>
          <w:szCs w:val="24"/>
        </w:rPr>
        <w:t xml:space="preserve">, </w:t>
      </w:r>
      <w:r>
        <w:rPr>
          <w:rFonts w:hint="default" w:ascii="Times New Roman" w:hAnsi="Times New Roman" w:eastAsia="Times New Roman" w:cs="Times New Roman"/>
          <w:b/>
          <w:bCs/>
          <w:kern w:val="0"/>
          <w:sz w:val="24"/>
          <w:szCs w:val="24"/>
        </w:rPr>
        <w:t>artificial intelligence</w:t>
      </w:r>
      <w:r>
        <w:rPr>
          <w:rFonts w:hint="default" w:ascii="Times New Roman" w:hAnsi="Times New Roman" w:eastAsia="Times New Roman" w:cs="Times New Roman"/>
          <w:kern w:val="0"/>
          <w:sz w:val="24"/>
          <w:szCs w:val="24"/>
        </w:rPr>
        <w:t xml:space="preserve">, </w:t>
      </w:r>
      <w:r>
        <w:rPr>
          <w:rFonts w:hint="default" w:ascii="Times New Roman" w:hAnsi="Times New Roman" w:eastAsia="Times New Roman" w:cs="Times New Roman"/>
          <w:b/>
          <w:bCs/>
          <w:kern w:val="0"/>
          <w:sz w:val="24"/>
          <w:szCs w:val="24"/>
        </w:rPr>
        <w:t>machine learning</w:t>
      </w:r>
      <w:r>
        <w:rPr>
          <w:rFonts w:hint="default" w:ascii="Times New Roman" w:hAnsi="Times New Roman" w:eastAsia="Times New Roman" w:cs="Times New Roman"/>
          <w:kern w:val="0"/>
          <w:sz w:val="24"/>
          <w:szCs w:val="24"/>
        </w:rPr>
        <w:t xml:space="preserve">, and </w:t>
      </w:r>
      <w:r>
        <w:rPr>
          <w:rFonts w:hint="default" w:ascii="Times New Roman" w:hAnsi="Times New Roman" w:eastAsia="Times New Roman" w:cs="Times New Roman"/>
          <w:b/>
          <w:bCs/>
          <w:kern w:val="0"/>
          <w:sz w:val="24"/>
          <w:szCs w:val="24"/>
        </w:rPr>
        <w:t>smart manufacturing systems</w:t>
      </w:r>
      <w:r>
        <w:rPr>
          <w:rFonts w:hint="default" w:ascii="Times New Roman" w:hAnsi="Times New Roman" w:eastAsia="Times New Roman" w:cs="Times New Roman"/>
          <w:kern w:val="0"/>
          <w:sz w:val="24"/>
          <w:szCs w:val="24"/>
        </w:rPr>
        <w:t>.</w:t>
      </w:r>
    </w:p>
    <w:p w14:paraId="48D8893B">
      <w:pPr>
        <w:spacing w:beforeAutospacing="1" w:after="100" w:afterAutospacing="1" w:line="360" w:lineRule="auto"/>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“We need to understand how to apply artificial intelligence in the workshop. Without it, we are far behind what the industries are using.”</w:t>
      </w:r>
      <w:r>
        <w:rPr>
          <w:rFonts w:hint="default" w:ascii="Times New Roman" w:hAnsi="Times New Roman" w:eastAsia="Times New Roman" w:cs="Times New Roman"/>
          <w:kern w:val="0"/>
          <w:sz w:val="24"/>
          <w:szCs w:val="24"/>
        </w:rPr>
        <w:br w:type="textWrapping"/>
      </w:r>
      <w:r>
        <w:rPr>
          <w:rFonts w:hint="default" w:ascii="Times New Roman" w:hAnsi="Times New Roman" w:eastAsia="Times New Roman" w:cs="Times New Roman"/>
          <w:i/>
          <w:iCs/>
          <w:kern w:val="0"/>
          <w:sz w:val="24"/>
          <w:szCs w:val="24"/>
        </w:rPr>
        <w:t>(E4, Educator, Polytechnic)</w:t>
      </w:r>
    </w:p>
    <w:p w14:paraId="51EC8B6C">
      <w:pPr>
        <w:spacing w:beforeAutospacing="1" w:after="100" w:afterAutospacing="1" w:line="360" w:lineRule="auto"/>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“Teachers must be re-trained in areas like automation and robotics, otherwise they will keep teaching outdated skills.”</w:t>
      </w:r>
      <w:r>
        <w:rPr>
          <w:rFonts w:hint="default" w:ascii="Times New Roman" w:hAnsi="Times New Roman" w:eastAsia="Times New Roman" w:cs="Times New Roman"/>
          <w:kern w:val="0"/>
          <w:sz w:val="24"/>
          <w:szCs w:val="24"/>
        </w:rPr>
        <w:br w:type="textWrapping"/>
      </w:r>
      <w:r>
        <w:rPr>
          <w:rFonts w:hint="default" w:ascii="Times New Roman" w:hAnsi="Times New Roman" w:eastAsia="Times New Roman" w:cs="Times New Roman"/>
          <w:i/>
          <w:iCs/>
          <w:kern w:val="0"/>
          <w:sz w:val="24"/>
          <w:szCs w:val="24"/>
        </w:rPr>
        <w:t>(A6, Administrator, College of Education)</w:t>
      </w:r>
    </w:p>
    <w:p w14:paraId="2D2CD82D">
      <w:pPr>
        <w:spacing w:before="100" w:beforeAutospacing="1" w:after="100" w:afterAutospacing="1" w:line="360" w:lineRule="auto"/>
        <w:jc w:val="both"/>
        <w:outlineLvl w:val="2"/>
        <w:rPr>
          <w:rFonts w:hint="default" w:ascii="Times New Roman" w:hAnsi="Times New Roman" w:eastAsia="Times New Roman" w:cs="Times New Roman"/>
          <w:b/>
          <w:bCs/>
          <w:kern w:val="0"/>
          <w:sz w:val="24"/>
          <w:szCs w:val="24"/>
        </w:rPr>
      </w:pPr>
      <w:r>
        <w:rPr>
          <w:rFonts w:hint="default" w:ascii="Times New Roman" w:hAnsi="Times New Roman" w:eastAsia="Times New Roman" w:cs="Times New Roman"/>
          <w:b/>
          <w:bCs/>
          <w:kern w:val="0"/>
          <w:sz w:val="24"/>
          <w:szCs w:val="24"/>
        </w:rPr>
        <w:t>Theme 2: Existing Competency Levels Among Educators</w:t>
      </w:r>
    </w:p>
    <w:p w14:paraId="239E5C30">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Many educators and administrators admitted to limited exposure to modern technologies, and inadequate capacity in integrating smart systems.</w:t>
      </w:r>
    </w:p>
    <w:p w14:paraId="1EE77B6B">
      <w:pPr>
        <w:spacing w:beforeAutospacing="1" w:after="100" w:afterAutospacing="1" w:line="360" w:lineRule="auto"/>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“Some of us are still learning how to use even the projector. Talking about machine learning sounds far-fetched to many of our colleagues.”</w:t>
      </w:r>
      <w:r>
        <w:rPr>
          <w:rFonts w:hint="default" w:ascii="Times New Roman" w:hAnsi="Times New Roman" w:eastAsia="Times New Roman" w:cs="Times New Roman"/>
          <w:kern w:val="0"/>
          <w:sz w:val="24"/>
          <w:szCs w:val="24"/>
        </w:rPr>
        <w:br w:type="textWrapping"/>
      </w:r>
      <w:r>
        <w:rPr>
          <w:rFonts w:hint="default" w:ascii="Times New Roman" w:hAnsi="Times New Roman" w:eastAsia="Times New Roman" w:cs="Times New Roman"/>
          <w:i/>
          <w:iCs/>
          <w:kern w:val="0"/>
          <w:sz w:val="24"/>
          <w:szCs w:val="24"/>
        </w:rPr>
        <w:t>(E2, Educator, Technical College)</w:t>
      </w:r>
    </w:p>
    <w:p w14:paraId="01A203B1">
      <w:pPr>
        <w:spacing w:beforeAutospacing="1" w:after="100" w:afterAutospacing="1" w:line="360" w:lineRule="auto"/>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“Even our ICT teachers are not familiar with the latest industry trends. There is a serious skills gap.”</w:t>
      </w:r>
      <w:r>
        <w:rPr>
          <w:rFonts w:hint="default" w:ascii="Times New Roman" w:hAnsi="Times New Roman" w:eastAsia="Times New Roman" w:cs="Times New Roman"/>
          <w:kern w:val="0"/>
          <w:sz w:val="24"/>
          <w:szCs w:val="24"/>
        </w:rPr>
        <w:br w:type="textWrapping"/>
      </w:r>
      <w:r>
        <w:rPr>
          <w:rFonts w:hint="default" w:ascii="Times New Roman" w:hAnsi="Times New Roman" w:eastAsia="Times New Roman" w:cs="Times New Roman"/>
          <w:i/>
          <w:iCs/>
          <w:kern w:val="0"/>
          <w:sz w:val="24"/>
          <w:szCs w:val="24"/>
        </w:rPr>
        <w:t>(A3, Administrator, College of Education)</w:t>
      </w:r>
    </w:p>
    <w:p w14:paraId="41109817">
      <w:pPr>
        <w:spacing w:before="100" w:beforeAutospacing="1" w:after="100" w:afterAutospacing="1" w:line="360" w:lineRule="auto"/>
        <w:jc w:val="both"/>
        <w:outlineLvl w:val="2"/>
        <w:rPr>
          <w:rFonts w:hint="default" w:ascii="Times New Roman" w:hAnsi="Times New Roman" w:eastAsia="Times New Roman" w:cs="Times New Roman"/>
          <w:b/>
          <w:bCs/>
          <w:kern w:val="0"/>
          <w:sz w:val="24"/>
          <w:szCs w:val="24"/>
        </w:rPr>
      </w:pPr>
      <w:r>
        <w:rPr>
          <w:rFonts w:hint="default" w:ascii="Times New Roman" w:hAnsi="Times New Roman" w:eastAsia="Times New Roman" w:cs="Times New Roman"/>
          <w:b/>
          <w:bCs/>
          <w:kern w:val="0"/>
          <w:sz w:val="24"/>
          <w:szCs w:val="24"/>
        </w:rPr>
        <w:t>Theme 3: Institutional and Infrastructural Barriers</w:t>
      </w:r>
    </w:p>
    <w:p w14:paraId="1CB13C40">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Lack of funding, outdated infrastructure, and policy inconsistency were widely cited as major hindrances to Industry 4.0 adoption.</w:t>
      </w:r>
    </w:p>
    <w:p w14:paraId="52F4A9E1">
      <w:pPr>
        <w:spacing w:beforeAutospacing="1" w:after="100" w:afterAutospacing="1" w:line="360" w:lineRule="auto"/>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“We don’t even have internet access in the workshop. How do you teach smart systems without basic tools?”</w:t>
      </w:r>
      <w:r>
        <w:rPr>
          <w:rFonts w:hint="default" w:ascii="Times New Roman" w:hAnsi="Times New Roman" w:eastAsia="Times New Roman" w:cs="Times New Roman"/>
          <w:kern w:val="0"/>
          <w:sz w:val="24"/>
          <w:szCs w:val="24"/>
        </w:rPr>
        <w:br w:type="textWrapping"/>
      </w:r>
      <w:r>
        <w:rPr>
          <w:rFonts w:hint="default" w:ascii="Times New Roman" w:hAnsi="Times New Roman" w:eastAsia="Times New Roman" w:cs="Times New Roman"/>
          <w:i/>
          <w:iCs/>
          <w:kern w:val="0"/>
          <w:sz w:val="24"/>
          <w:szCs w:val="24"/>
        </w:rPr>
        <w:t>(E7, Educator, Polytechnic)</w:t>
      </w:r>
    </w:p>
    <w:p w14:paraId="35443B53">
      <w:pPr>
        <w:spacing w:beforeAutospacing="1" w:after="100" w:afterAutospacing="1" w:line="360" w:lineRule="auto"/>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“The challenge is not only skills but also resources. You can’t train with broken or analog equipment.”</w:t>
      </w:r>
      <w:r>
        <w:rPr>
          <w:rFonts w:hint="default" w:ascii="Times New Roman" w:hAnsi="Times New Roman" w:eastAsia="Times New Roman" w:cs="Times New Roman"/>
          <w:kern w:val="0"/>
          <w:sz w:val="24"/>
          <w:szCs w:val="24"/>
        </w:rPr>
        <w:br w:type="textWrapping"/>
      </w:r>
      <w:r>
        <w:rPr>
          <w:rFonts w:hint="default" w:ascii="Times New Roman" w:hAnsi="Times New Roman" w:eastAsia="Times New Roman" w:cs="Times New Roman"/>
          <w:i/>
          <w:iCs/>
          <w:kern w:val="0"/>
          <w:sz w:val="24"/>
          <w:szCs w:val="24"/>
        </w:rPr>
        <w:t>(A9, Administrator, College of Education)</w:t>
      </w:r>
    </w:p>
    <w:p w14:paraId="58F58172">
      <w:pPr>
        <w:spacing w:before="100" w:beforeAutospacing="1" w:after="100" w:afterAutospacing="1" w:line="360" w:lineRule="auto"/>
        <w:jc w:val="both"/>
        <w:outlineLvl w:val="2"/>
        <w:rPr>
          <w:rFonts w:hint="default" w:ascii="Times New Roman" w:hAnsi="Times New Roman" w:eastAsia="Times New Roman" w:cs="Times New Roman"/>
          <w:b/>
          <w:bCs/>
          <w:kern w:val="0"/>
          <w:sz w:val="24"/>
          <w:szCs w:val="24"/>
        </w:rPr>
      </w:pPr>
      <w:r>
        <w:rPr>
          <w:rFonts w:hint="default" w:ascii="Times New Roman" w:hAnsi="Times New Roman" w:eastAsia="Times New Roman" w:cs="Times New Roman"/>
          <w:b/>
          <w:bCs/>
          <w:kern w:val="0"/>
          <w:sz w:val="24"/>
          <w:szCs w:val="24"/>
        </w:rPr>
        <w:t>Theme 4: Professional Development Needs</w:t>
      </w:r>
    </w:p>
    <w:p w14:paraId="56C939F3">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Participants expressed interest in professional training, exchange programs, and industry partnerships to upgrade their competencies.</w:t>
      </w:r>
    </w:p>
    <w:p w14:paraId="510043C5">
      <w:pPr>
        <w:spacing w:beforeAutospacing="1" w:after="100" w:afterAutospacing="1" w:line="360" w:lineRule="auto"/>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“I believe we need hands-on workshops and regular exposure to industry trends to keep up.”</w:t>
      </w:r>
      <w:r>
        <w:rPr>
          <w:rFonts w:hint="default" w:ascii="Times New Roman" w:hAnsi="Times New Roman" w:eastAsia="Times New Roman" w:cs="Times New Roman"/>
          <w:kern w:val="0"/>
          <w:sz w:val="24"/>
          <w:szCs w:val="24"/>
        </w:rPr>
        <w:br w:type="textWrapping"/>
      </w:r>
      <w:r>
        <w:rPr>
          <w:rFonts w:hint="default" w:ascii="Times New Roman" w:hAnsi="Times New Roman" w:eastAsia="Times New Roman" w:cs="Times New Roman"/>
          <w:i/>
          <w:iCs/>
          <w:kern w:val="0"/>
          <w:sz w:val="24"/>
          <w:szCs w:val="24"/>
        </w:rPr>
        <w:t>(E6, Educator, College of Education)</w:t>
      </w:r>
    </w:p>
    <w:p w14:paraId="645AF370">
      <w:pPr>
        <w:spacing w:beforeAutospacing="1" w:after="100" w:afterAutospacing="1" w:line="360" w:lineRule="auto"/>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“Capacity building should be constant. There should be a national training program just for this purpose.”</w:t>
      </w:r>
      <w:r>
        <w:rPr>
          <w:rFonts w:hint="default" w:ascii="Times New Roman" w:hAnsi="Times New Roman" w:eastAsia="Times New Roman" w:cs="Times New Roman"/>
          <w:kern w:val="0"/>
          <w:sz w:val="24"/>
          <w:szCs w:val="24"/>
        </w:rPr>
        <w:br w:type="textWrapping"/>
      </w:r>
      <w:r>
        <w:rPr>
          <w:rFonts w:hint="default" w:ascii="Times New Roman" w:hAnsi="Times New Roman" w:eastAsia="Times New Roman" w:cs="Times New Roman"/>
          <w:i/>
          <w:iCs/>
          <w:kern w:val="0"/>
          <w:sz w:val="24"/>
          <w:szCs w:val="24"/>
        </w:rPr>
        <w:t>(A1, Administrator, Polytechnic)</w:t>
      </w:r>
    </w:p>
    <w:p w14:paraId="54EC2743">
      <w:pPr>
        <w:spacing w:before="100" w:beforeAutospacing="1" w:after="100" w:afterAutospacing="1" w:line="360" w:lineRule="auto"/>
        <w:jc w:val="both"/>
        <w:outlineLvl w:val="2"/>
        <w:rPr>
          <w:rFonts w:hint="default" w:ascii="Times New Roman" w:hAnsi="Times New Roman" w:eastAsia="Times New Roman" w:cs="Times New Roman"/>
          <w:b/>
          <w:bCs/>
          <w:kern w:val="0"/>
          <w:sz w:val="24"/>
          <w:szCs w:val="24"/>
        </w:rPr>
      </w:pPr>
      <w:r>
        <w:rPr>
          <w:rFonts w:hint="default" w:ascii="Times New Roman" w:hAnsi="Times New Roman" w:eastAsia="Times New Roman" w:cs="Times New Roman"/>
          <w:b/>
          <w:bCs/>
          <w:kern w:val="0"/>
          <w:sz w:val="24"/>
          <w:szCs w:val="24"/>
        </w:rPr>
        <w:t xml:space="preserve">Theme 5: </w:t>
      </w:r>
      <w:r>
        <w:rPr>
          <w:rFonts w:hint="default" w:ascii="Times New Roman" w:hAnsi="Times New Roman" w:eastAsia="SimSun" w:cs="Times New Roman"/>
          <w:b/>
          <w:bCs/>
          <w:sz w:val="24"/>
          <w:szCs w:val="24"/>
        </w:rPr>
        <w:t>Psychological Barriers (The Sense of Being Lost)</w:t>
      </w:r>
    </w:p>
    <w:p w14:paraId="2443644F">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Educators and administrators agreed that a gap in Industry 4.0 integration directly impacts the employability of graduates.</w:t>
      </w:r>
    </w:p>
    <w:p w14:paraId="7F62DFDB">
      <w:pPr>
        <w:spacing w:beforeAutospacing="1" w:after="100" w:afterAutospacing="1" w:line="360" w:lineRule="auto"/>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“Our students are brilliant, but when they get to the industry, they are lost. They have never seen the real technology used.”</w:t>
      </w:r>
      <w:r>
        <w:rPr>
          <w:rFonts w:hint="default" w:ascii="Times New Roman" w:hAnsi="Times New Roman" w:eastAsia="Times New Roman" w:cs="Times New Roman"/>
          <w:kern w:val="0"/>
          <w:sz w:val="24"/>
          <w:szCs w:val="24"/>
        </w:rPr>
        <w:br w:type="textWrapping"/>
      </w:r>
      <w:r>
        <w:rPr>
          <w:rFonts w:hint="default" w:ascii="Times New Roman" w:hAnsi="Times New Roman" w:eastAsia="Times New Roman" w:cs="Times New Roman"/>
          <w:i/>
          <w:iCs/>
          <w:kern w:val="0"/>
          <w:sz w:val="24"/>
          <w:szCs w:val="24"/>
        </w:rPr>
        <w:t>(E10, Educator, College of Education)</w:t>
      </w:r>
    </w:p>
    <w:p w14:paraId="3EC064FE">
      <w:pPr>
        <w:spacing w:beforeAutospacing="1" w:after="100" w:afterAutospacing="1" w:line="360" w:lineRule="auto"/>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“It is painful to see our graduates rejected for jobs because of lack of exposure to smart tech.”</w:t>
      </w:r>
      <w:r>
        <w:rPr>
          <w:rFonts w:hint="default" w:ascii="Times New Roman" w:hAnsi="Times New Roman" w:eastAsia="Times New Roman" w:cs="Times New Roman"/>
          <w:kern w:val="0"/>
          <w:sz w:val="24"/>
          <w:szCs w:val="24"/>
        </w:rPr>
        <w:br w:type="textWrapping"/>
      </w:r>
      <w:r>
        <w:rPr>
          <w:rFonts w:hint="default" w:ascii="Times New Roman" w:hAnsi="Times New Roman" w:eastAsia="Times New Roman" w:cs="Times New Roman"/>
          <w:i/>
          <w:iCs/>
          <w:kern w:val="0"/>
          <w:sz w:val="24"/>
          <w:szCs w:val="24"/>
        </w:rPr>
        <w:t>(A5, Administrator, Technical College)</w:t>
      </w:r>
    </w:p>
    <w:p w14:paraId="2F90EFCF">
      <w:pPr>
        <w:spacing w:before="100" w:beforeAutospacing="1" w:after="100" w:afterAutospacing="1" w:line="360" w:lineRule="auto"/>
        <w:jc w:val="both"/>
        <w:outlineLvl w:val="2"/>
        <w:rPr>
          <w:rFonts w:hint="default" w:ascii="Times New Roman" w:hAnsi="Times New Roman" w:eastAsia="Times New Roman" w:cs="Times New Roman"/>
          <w:b/>
          <w:bCs/>
          <w:kern w:val="0"/>
          <w:sz w:val="24"/>
          <w:szCs w:val="24"/>
        </w:rPr>
      </w:pPr>
      <w:r>
        <w:rPr>
          <w:rFonts w:hint="default" w:ascii="Times New Roman" w:hAnsi="Times New Roman" w:eastAsia="Times New Roman" w:cs="Times New Roman"/>
          <w:b/>
          <w:bCs/>
          <w:kern w:val="0"/>
          <w:sz w:val="24"/>
          <w:szCs w:val="24"/>
        </w:rPr>
        <w:t>Theme 6: Strategic Frameworks and Policy Suggestions</w:t>
      </w:r>
    </w:p>
    <w:p w14:paraId="60C2EE4C">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Participants recommended institutional reforms, digital infrastructure investment, and curriculum restructuring.</w:t>
      </w:r>
    </w:p>
    <w:p w14:paraId="6AD039B1">
      <w:pPr>
        <w:spacing w:beforeAutospacing="1" w:after="100" w:afterAutospacing="1" w:line="360" w:lineRule="auto"/>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“The government needs to come in with policies that mandate industry partnerships for our schools.”</w:t>
      </w:r>
      <w:r>
        <w:rPr>
          <w:rFonts w:hint="default" w:ascii="Times New Roman" w:hAnsi="Times New Roman" w:eastAsia="Times New Roman" w:cs="Times New Roman"/>
          <w:kern w:val="0"/>
          <w:sz w:val="24"/>
          <w:szCs w:val="24"/>
        </w:rPr>
        <w:br w:type="textWrapping"/>
      </w:r>
      <w:r>
        <w:rPr>
          <w:rFonts w:hint="default" w:ascii="Times New Roman" w:hAnsi="Times New Roman" w:eastAsia="Times New Roman" w:cs="Times New Roman"/>
          <w:i/>
          <w:iCs/>
          <w:kern w:val="0"/>
          <w:sz w:val="24"/>
          <w:szCs w:val="24"/>
        </w:rPr>
        <w:t>(A4, Administrator, Polytechnic)</w:t>
      </w:r>
    </w:p>
    <w:p w14:paraId="15EBDC99">
      <w:pPr>
        <w:spacing w:beforeAutospacing="1" w:after="100" w:afterAutospacing="1" w:line="360" w:lineRule="auto"/>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“We need a strategy that doesn’t just focus on theory but practical exposure and simulation labs.”</w:t>
      </w:r>
      <w:r>
        <w:rPr>
          <w:rFonts w:hint="default" w:ascii="Times New Roman" w:hAnsi="Times New Roman" w:eastAsia="Times New Roman" w:cs="Times New Roman"/>
          <w:kern w:val="0"/>
          <w:sz w:val="24"/>
          <w:szCs w:val="24"/>
        </w:rPr>
        <w:br w:type="textWrapping"/>
      </w:r>
      <w:r>
        <w:rPr>
          <w:rFonts w:hint="default" w:ascii="Times New Roman" w:hAnsi="Times New Roman" w:eastAsia="Times New Roman" w:cs="Times New Roman"/>
          <w:i/>
          <w:iCs/>
          <w:kern w:val="0"/>
          <w:sz w:val="24"/>
          <w:szCs w:val="24"/>
        </w:rPr>
        <w:t>(E12, Educator, Polytechnic)</w:t>
      </w:r>
    </w:p>
    <w:p w14:paraId="14213535">
      <w:pPr>
        <w:spacing w:before="100" w:beforeAutospacing="1" w:after="100" w:afterAutospacing="1" w:line="360" w:lineRule="auto"/>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b/>
          <w:kern w:val="0"/>
          <w:sz w:val="24"/>
          <w:szCs w:val="24"/>
        </w:rPr>
        <w:t>Analysis of interview transcripts</w:t>
      </w:r>
    </w:p>
    <w:p w14:paraId="689F6862">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The analysis yielded six major themes, each comprising several subthemes from both educator and administrator perspectives:</w:t>
      </w:r>
    </w:p>
    <w:p w14:paraId="4CC6AC91">
      <w:pPr>
        <w:spacing w:before="100" w:beforeAutospacing="1" w:after="100" w:afterAutospacing="1" w:line="360" w:lineRule="auto"/>
        <w:jc w:val="both"/>
        <w:outlineLvl w:val="3"/>
        <w:rPr>
          <w:rFonts w:hint="default" w:ascii="Times New Roman" w:hAnsi="Times New Roman" w:eastAsia="Times New Roman" w:cs="Times New Roman"/>
          <w:b/>
          <w:bCs/>
          <w:kern w:val="0"/>
          <w:sz w:val="24"/>
          <w:szCs w:val="24"/>
        </w:rPr>
      </w:pPr>
      <w:r>
        <w:rPr>
          <w:rFonts w:hint="default" w:ascii="Times New Roman" w:hAnsi="Times New Roman" w:eastAsia="Times New Roman" w:cs="Times New Roman"/>
          <w:b/>
          <w:bCs/>
          <w:kern w:val="0"/>
          <w:sz w:val="24"/>
          <w:szCs w:val="24"/>
        </w:rPr>
        <w:t>Theme 1: Competencies Needed for Industry 4.0 Integration</w:t>
      </w:r>
    </w:p>
    <w:p w14:paraId="76718AFE">
      <w:pPr>
        <w:numPr>
          <w:ilvl w:val="0"/>
          <w:numId w:val="1"/>
        </w:numPr>
        <w:spacing w:before="100" w:beforeAutospacing="1" w:after="100" w:afterAutospacing="1" w:line="360" w:lineRule="auto"/>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i/>
          <w:iCs/>
          <w:kern w:val="0"/>
          <w:sz w:val="24"/>
          <w:szCs w:val="24"/>
        </w:rPr>
        <w:t>Educators</w:t>
      </w:r>
      <w:r>
        <w:rPr>
          <w:rFonts w:hint="default" w:ascii="Times New Roman" w:hAnsi="Times New Roman" w:eastAsia="Times New Roman" w:cs="Times New Roman"/>
          <w:kern w:val="0"/>
          <w:sz w:val="24"/>
          <w:szCs w:val="24"/>
        </w:rPr>
        <w:t xml:space="preserve"> identified digital literacy, simulation software, smart factory operations, and blended learning as vital.</w:t>
      </w:r>
    </w:p>
    <w:p w14:paraId="379EC443">
      <w:pPr>
        <w:numPr>
          <w:ilvl w:val="0"/>
          <w:numId w:val="1"/>
        </w:numPr>
        <w:spacing w:before="100" w:beforeAutospacing="1" w:after="100" w:afterAutospacing="1" w:line="360" w:lineRule="auto"/>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i/>
          <w:iCs/>
          <w:kern w:val="0"/>
          <w:sz w:val="24"/>
          <w:szCs w:val="24"/>
        </w:rPr>
        <w:t>Administrators</w:t>
      </w:r>
      <w:r>
        <w:rPr>
          <w:rFonts w:hint="default" w:ascii="Times New Roman" w:hAnsi="Times New Roman" w:eastAsia="Times New Roman" w:cs="Times New Roman"/>
          <w:kern w:val="0"/>
          <w:sz w:val="24"/>
          <w:szCs w:val="24"/>
        </w:rPr>
        <w:t xml:space="preserve"> emphasized strategic vision, interdisciplinary teaching, agile curriculum revision, and knowledge of emerging trends.</w:t>
      </w:r>
    </w:p>
    <w:p w14:paraId="257730F2">
      <w:pPr>
        <w:spacing w:before="100" w:beforeAutospacing="1" w:after="100" w:afterAutospacing="1" w:line="360" w:lineRule="auto"/>
        <w:jc w:val="both"/>
        <w:outlineLvl w:val="3"/>
        <w:rPr>
          <w:rFonts w:hint="default" w:ascii="Times New Roman" w:hAnsi="Times New Roman" w:eastAsia="Times New Roman" w:cs="Times New Roman"/>
          <w:b/>
          <w:bCs/>
          <w:kern w:val="0"/>
          <w:sz w:val="24"/>
          <w:szCs w:val="24"/>
        </w:rPr>
      </w:pPr>
      <w:r>
        <w:rPr>
          <w:rFonts w:hint="default" w:ascii="Times New Roman" w:hAnsi="Times New Roman" w:eastAsia="Times New Roman" w:cs="Times New Roman"/>
          <w:b/>
          <w:bCs/>
          <w:kern w:val="0"/>
          <w:sz w:val="24"/>
          <w:szCs w:val="24"/>
        </w:rPr>
        <w:t>Theme 2: Existing Competency Levels</w:t>
      </w:r>
    </w:p>
    <w:p w14:paraId="33BB3D18">
      <w:pPr>
        <w:numPr>
          <w:ilvl w:val="0"/>
          <w:numId w:val="2"/>
        </w:numPr>
        <w:spacing w:before="100" w:beforeAutospacing="1" w:after="100" w:afterAutospacing="1" w:line="360" w:lineRule="auto"/>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i/>
          <w:iCs/>
          <w:kern w:val="0"/>
          <w:sz w:val="24"/>
          <w:szCs w:val="24"/>
        </w:rPr>
        <w:t>Educators</w:t>
      </w:r>
      <w:r>
        <w:rPr>
          <w:rFonts w:hint="default" w:ascii="Times New Roman" w:hAnsi="Times New Roman" w:eastAsia="Times New Roman" w:cs="Times New Roman"/>
          <w:kern w:val="0"/>
          <w:sz w:val="24"/>
          <w:szCs w:val="24"/>
        </w:rPr>
        <w:t xml:space="preserve"> reported low exposure to AI, digital twins, and data analytics, with minimal mentorship or structured professional development.</w:t>
      </w:r>
    </w:p>
    <w:p w14:paraId="19AB7951">
      <w:pPr>
        <w:numPr>
          <w:ilvl w:val="0"/>
          <w:numId w:val="2"/>
        </w:numPr>
        <w:spacing w:before="100" w:beforeAutospacing="1" w:after="100" w:afterAutospacing="1" w:line="360" w:lineRule="auto"/>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i/>
          <w:iCs/>
          <w:kern w:val="0"/>
          <w:sz w:val="24"/>
          <w:szCs w:val="24"/>
        </w:rPr>
        <w:t>Administrators</w:t>
      </w:r>
      <w:r>
        <w:rPr>
          <w:rFonts w:hint="default" w:ascii="Times New Roman" w:hAnsi="Times New Roman" w:eastAsia="Times New Roman" w:cs="Times New Roman"/>
          <w:kern w:val="0"/>
          <w:sz w:val="24"/>
          <w:szCs w:val="24"/>
        </w:rPr>
        <w:t xml:space="preserve"> confirmed weak institutional capacity and stressed the need for targeted upskilling and global exposure.</w:t>
      </w:r>
    </w:p>
    <w:p w14:paraId="37A86314">
      <w:pPr>
        <w:spacing w:before="100" w:beforeAutospacing="1" w:after="100" w:afterAutospacing="1" w:line="360" w:lineRule="auto"/>
        <w:jc w:val="both"/>
        <w:outlineLvl w:val="3"/>
        <w:rPr>
          <w:rFonts w:hint="default" w:ascii="Times New Roman" w:hAnsi="Times New Roman" w:eastAsia="Times New Roman" w:cs="Times New Roman"/>
          <w:b/>
          <w:bCs/>
          <w:kern w:val="0"/>
          <w:sz w:val="24"/>
          <w:szCs w:val="24"/>
        </w:rPr>
      </w:pPr>
      <w:r>
        <w:rPr>
          <w:rFonts w:hint="default" w:ascii="Times New Roman" w:hAnsi="Times New Roman" w:eastAsia="Times New Roman" w:cs="Times New Roman"/>
          <w:b/>
          <w:bCs/>
          <w:kern w:val="0"/>
          <w:sz w:val="24"/>
          <w:szCs w:val="24"/>
        </w:rPr>
        <w:t>Theme 3: Barriers to Implementation</w:t>
      </w:r>
    </w:p>
    <w:p w14:paraId="3F00AC9B">
      <w:pPr>
        <w:numPr>
          <w:ilvl w:val="0"/>
          <w:numId w:val="3"/>
        </w:numPr>
        <w:spacing w:before="100" w:beforeAutospacing="1" w:after="100" w:afterAutospacing="1" w:line="360" w:lineRule="auto"/>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i/>
          <w:iCs/>
          <w:kern w:val="0"/>
          <w:sz w:val="24"/>
          <w:szCs w:val="24"/>
        </w:rPr>
        <w:t>Educators</w:t>
      </w:r>
      <w:r>
        <w:rPr>
          <w:rFonts w:hint="default" w:ascii="Times New Roman" w:hAnsi="Times New Roman" w:eastAsia="Times New Roman" w:cs="Times New Roman"/>
          <w:kern w:val="0"/>
          <w:sz w:val="24"/>
          <w:szCs w:val="24"/>
        </w:rPr>
        <w:t xml:space="preserve"> cited outdated labs, poor internet, overloaded curricula, and absence of national guidelines.</w:t>
      </w:r>
    </w:p>
    <w:p w14:paraId="3319BA89">
      <w:pPr>
        <w:numPr>
          <w:ilvl w:val="0"/>
          <w:numId w:val="3"/>
        </w:numPr>
        <w:spacing w:before="100" w:beforeAutospacing="1" w:after="100" w:afterAutospacing="1" w:line="360" w:lineRule="auto"/>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i/>
          <w:iCs/>
          <w:kern w:val="0"/>
          <w:sz w:val="24"/>
          <w:szCs w:val="24"/>
        </w:rPr>
        <w:t>Administrators</w:t>
      </w:r>
      <w:r>
        <w:rPr>
          <w:rFonts w:hint="default" w:ascii="Times New Roman" w:hAnsi="Times New Roman" w:eastAsia="Times New Roman" w:cs="Times New Roman"/>
          <w:kern w:val="0"/>
          <w:sz w:val="24"/>
          <w:szCs w:val="24"/>
        </w:rPr>
        <w:t xml:space="preserve"> highlighted rigid curriculum structures, weak ICT support, procurement inefficiencies, and policy mismatches.</w:t>
      </w:r>
    </w:p>
    <w:p w14:paraId="50E2D923">
      <w:pPr>
        <w:spacing w:before="100" w:beforeAutospacing="1" w:after="100" w:afterAutospacing="1" w:line="360" w:lineRule="auto"/>
        <w:jc w:val="both"/>
        <w:outlineLvl w:val="3"/>
        <w:rPr>
          <w:rFonts w:hint="default" w:ascii="Times New Roman" w:hAnsi="Times New Roman" w:eastAsia="Times New Roman" w:cs="Times New Roman"/>
          <w:b/>
          <w:bCs/>
          <w:kern w:val="0"/>
          <w:sz w:val="24"/>
          <w:szCs w:val="24"/>
        </w:rPr>
      </w:pPr>
      <w:r>
        <w:rPr>
          <w:rFonts w:hint="default" w:ascii="Times New Roman" w:hAnsi="Times New Roman" w:eastAsia="Times New Roman" w:cs="Times New Roman"/>
          <w:b/>
          <w:bCs/>
          <w:kern w:val="0"/>
          <w:sz w:val="24"/>
          <w:szCs w:val="24"/>
        </w:rPr>
        <w:t>Theme 4: Professional Development Strategies</w:t>
      </w:r>
    </w:p>
    <w:p w14:paraId="0F3A4BA0">
      <w:pPr>
        <w:numPr>
          <w:ilvl w:val="0"/>
          <w:numId w:val="4"/>
        </w:numPr>
        <w:spacing w:before="100" w:beforeAutospacing="1" w:after="100" w:afterAutospacing="1" w:line="360" w:lineRule="auto"/>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i/>
          <w:iCs/>
          <w:kern w:val="0"/>
          <w:sz w:val="24"/>
          <w:szCs w:val="24"/>
        </w:rPr>
        <w:t>Educators</w:t>
      </w:r>
      <w:r>
        <w:rPr>
          <w:rFonts w:hint="default" w:ascii="Times New Roman" w:hAnsi="Times New Roman" w:eastAsia="Times New Roman" w:cs="Times New Roman"/>
          <w:kern w:val="0"/>
          <w:sz w:val="24"/>
          <w:szCs w:val="24"/>
        </w:rPr>
        <w:t xml:space="preserve"> favored hands-on workshops, hackathons, and MOOCs.</w:t>
      </w:r>
    </w:p>
    <w:p w14:paraId="705E37EE">
      <w:pPr>
        <w:numPr>
          <w:ilvl w:val="0"/>
          <w:numId w:val="4"/>
        </w:numPr>
        <w:spacing w:before="100" w:beforeAutospacing="1" w:after="100" w:afterAutospacing="1" w:line="360" w:lineRule="auto"/>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i/>
          <w:iCs/>
          <w:kern w:val="0"/>
          <w:sz w:val="24"/>
          <w:szCs w:val="24"/>
        </w:rPr>
        <w:t>Administrators</w:t>
      </w:r>
      <w:r>
        <w:rPr>
          <w:rFonts w:hint="default" w:ascii="Times New Roman" w:hAnsi="Times New Roman" w:eastAsia="Times New Roman" w:cs="Times New Roman"/>
          <w:kern w:val="0"/>
          <w:sz w:val="24"/>
          <w:szCs w:val="24"/>
        </w:rPr>
        <w:t xml:space="preserve"> stressed international exposure, ICT provider partnerships, and in-house training.</w:t>
      </w:r>
    </w:p>
    <w:p w14:paraId="397FA6DA">
      <w:pPr>
        <w:spacing w:before="100" w:beforeAutospacing="1" w:after="100" w:afterAutospacing="1" w:line="360" w:lineRule="auto"/>
        <w:jc w:val="both"/>
        <w:outlineLvl w:val="3"/>
        <w:rPr>
          <w:rFonts w:hint="default" w:ascii="Times New Roman" w:hAnsi="Times New Roman" w:eastAsia="Times New Roman" w:cs="Times New Roman"/>
          <w:b/>
          <w:bCs/>
          <w:kern w:val="0"/>
          <w:sz w:val="24"/>
          <w:szCs w:val="24"/>
          <w:lang w:val="en-US"/>
        </w:rPr>
      </w:pPr>
      <w:r>
        <w:rPr>
          <w:rFonts w:hint="default" w:ascii="Times New Roman" w:hAnsi="Times New Roman" w:eastAsia="Times New Roman" w:cs="Times New Roman"/>
          <w:b/>
          <w:bCs/>
          <w:kern w:val="0"/>
          <w:sz w:val="24"/>
          <w:szCs w:val="24"/>
        </w:rPr>
        <w:t xml:space="preserve">Theme 5: </w:t>
      </w:r>
      <w:r>
        <w:rPr>
          <w:rFonts w:hint="default" w:ascii="Times New Roman" w:hAnsi="Times New Roman" w:eastAsia="SimSun" w:cs="Times New Roman"/>
          <w:b/>
          <w:bCs/>
          <w:sz w:val="24"/>
          <w:szCs w:val="24"/>
        </w:rPr>
        <w:t>Psychological Barriers (The Sense of Being Lost</w:t>
      </w:r>
      <w:r>
        <w:rPr>
          <w:rFonts w:hint="default" w:ascii="Times New Roman" w:hAnsi="Times New Roman" w:eastAsia="SimSun" w:cs="Times New Roman"/>
          <w:b/>
          <w:bCs/>
          <w:sz w:val="24"/>
          <w:szCs w:val="24"/>
          <w:lang w:val="en-US"/>
        </w:rPr>
        <w:t>)</w:t>
      </w:r>
    </w:p>
    <w:p w14:paraId="3747AB83">
      <w:pPr>
        <w:numPr>
          <w:ilvl w:val="0"/>
          <w:numId w:val="5"/>
        </w:numPr>
        <w:spacing w:before="100" w:beforeAutospacing="1" w:after="100" w:afterAutospacing="1" w:line="360" w:lineRule="auto"/>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i/>
          <w:iCs/>
          <w:kern w:val="0"/>
          <w:sz w:val="24"/>
          <w:szCs w:val="24"/>
        </w:rPr>
        <w:t>Educators</w:t>
      </w:r>
      <w:r>
        <w:rPr>
          <w:rFonts w:hint="default" w:ascii="Times New Roman" w:hAnsi="Times New Roman" w:eastAsia="Times New Roman" w:cs="Times New Roman"/>
          <w:kern w:val="0"/>
          <w:sz w:val="24"/>
          <w:szCs w:val="24"/>
        </w:rPr>
        <w:t xml:space="preserve"> observed increased industry alignment, problem-solving skills, and job readiness.</w:t>
      </w:r>
    </w:p>
    <w:p w14:paraId="22ECFBD4">
      <w:pPr>
        <w:numPr>
          <w:ilvl w:val="0"/>
          <w:numId w:val="5"/>
        </w:numPr>
        <w:spacing w:before="100" w:beforeAutospacing="1" w:after="100" w:afterAutospacing="1" w:line="360" w:lineRule="auto"/>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i/>
          <w:iCs/>
          <w:kern w:val="0"/>
          <w:sz w:val="24"/>
          <w:szCs w:val="24"/>
        </w:rPr>
        <w:t>Administrators</w:t>
      </w:r>
      <w:r>
        <w:rPr>
          <w:rFonts w:hint="default" w:ascii="Times New Roman" w:hAnsi="Times New Roman" w:eastAsia="Times New Roman" w:cs="Times New Roman"/>
          <w:kern w:val="0"/>
          <w:sz w:val="24"/>
          <w:szCs w:val="24"/>
        </w:rPr>
        <w:t xml:space="preserve"> reported higher employer satisfaction, reduced skill gaps, and rising enrollment in digital programs.</w:t>
      </w:r>
    </w:p>
    <w:p w14:paraId="7780EC7A">
      <w:pPr>
        <w:spacing w:before="100" w:beforeAutospacing="1" w:after="100" w:afterAutospacing="1" w:line="360" w:lineRule="auto"/>
        <w:jc w:val="both"/>
        <w:outlineLvl w:val="3"/>
        <w:rPr>
          <w:rFonts w:hint="default" w:ascii="Times New Roman" w:hAnsi="Times New Roman" w:eastAsia="Times New Roman" w:cs="Times New Roman"/>
          <w:b/>
          <w:bCs/>
          <w:kern w:val="0"/>
          <w:sz w:val="24"/>
          <w:szCs w:val="24"/>
        </w:rPr>
      </w:pPr>
      <w:r>
        <w:rPr>
          <w:rFonts w:hint="default" w:ascii="Times New Roman" w:hAnsi="Times New Roman" w:eastAsia="Times New Roman" w:cs="Times New Roman"/>
          <w:b/>
          <w:bCs/>
          <w:kern w:val="0"/>
          <w:sz w:val="24"/>
          <w:szCs w:val="24"/>
        </w:rPr>
        <w:t>Theme 6: Strategic Frameworks for Integration</w:t>
      </w:r>
    </w:p>
    <w:p w14:paraId="37C9FCDA">
      <w:pPr>
        <w:numPr>
          <w:ilvl w:val="0"/>
          <w:numId w:val="6"/>
        </w:numPr>
        <w:spacing w:before="100" w:beforeAutospacing="1" w:after="100" w:afterAutospacing="1" w:line="360" w:lineRule="auto"/>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i/>
          <w:iCs/>
          <w:kern w:val="0"/>
          <w:sz w:val="24"/>
          <w:szCs w:val="24"/>
        </w:rPr>
        <w:t>Educators</w:t>
      </w:r>
      <w:r>
        <w:rPr>
          <w:rFonts w:hint="default" w:ascii="Times New Roman" w:hAnsi="Times New Roman" w:eastAsia="Times New Roman" w:cs="Times New Roman"/>
          <w:kern w:val="0"/>
          <w:sz w:val="24"/>
          <w:szCs w:val="24"/>
        </w:rPr>
        <w:t xml:space="preserve"> proposed national standards, feedback-driven curricula, and incentives for tech-savvy staff.</w:t>
      </w:r>
    </w:p>
    <w:p w14:paraId="152B5B79">
      <w:pPr>
        <w:numPr>
          <w:ilvl w:val="0"/>
          <w:numId w:val="6"/>
        </w:numPr>
        <w:spacing w:before="100" w:beforeAutospacing="1" w:after="100" w:afterAutospacing="1" w:line="360" w:lineRule="auto"/>
        <w:jc w:val="both"/>
        <w:rPr>
          <w:rFonts w:hint="default" w:ascii="Times New Roman" w:hAnsi="Times New Roman" w:eastAsia="sans-serif" w:cs="Times New Roman"/>
          <w:b/>
          <w:bCs/>
          <w:sz w:val="24"/>
          <w:szCs w:val="24"/>
        </w:rPr>
      </w:pPr>
      <w:r>
        <w:rPr>
          <w:rFonts w:hint="default" w:ascii="Times New Roman" w:hAnsi="Times New Roman" w:eastAsia="Times New Roman" w:cs="Times New Roman"/>
          <w:i/>
          <w:iCs/>
          <w:kern w:val="0"/>
          <w:sz w:val="24"/>
          <w:szCs w:val="24"/>
        </w:rPr>
        <w:t>Administrators</w:t>
      </w:r>
      <w:r>
        <w:rPr>
          <w:rFonts w:hint="default" w:ascii="Times New Roman" w:hAnsi="Times New Roman" w:eastAsia="Times New Roman" w:cs="Times New Roman"/>
          <w:kern w:val="0"/>
          <w:sz w:val="24"/>
          <w:szCs w:val="24"/>
        </w:rPr>
        <w:t xml:space="preserve"> proposed policy frameworks, public-private partnerships, regional excellence hubs, and inter-ministerial coordination.</w:t>
      </w:r>
    </w:p>
    <w:p w14:paraId="65739DF9">
      <w:pPr>
        <w:pStyle w:val="9"/>
        <w:keepNext w:val="0"/>
        <w:keepLines w:val="0"/>
        <w:widowControl/>
        <w:suppressLineNumbers w:val="0"/>
        <w:spacing w:before="0" w:beforeAutospacing="0" w:line="360" w:lineRule="auto"/>
        <w:jc w:val="both"/>
        <w:rPr>
          <w:rFonts w:hint="default" w:ascii="Times New Roman" w:hAnsi="Times New Roman" w:eastAsia="sans-serif" w:cs="Times New Roman"/>
          <w:sz w:val="24"/>
          <w:szCs w:val="24"/>
        </w:rPr>
      </w:pPr>
      <w:r>
        <w:rPr>
          <w:rFonts w:hint="default" w:ascii="Times New Roman" w:hAnsi="Times New Roman" w:eastAsia="sans-serif" w:cs="Times New Roman"/>
          <w:sz w:val="24"/>
          <w:szCs w:val="24"/>
        </w:rPr>
        <w:t>The following six major themes emerged as the empirical foundation for the study:</w:t>
      </w:r>
    </w:p>
    <w:p w14:paraId="502C4FCD">
      <w:pPr>
        <w:pStyle w:val="9"/>
        <w:keepNext w:val="0"/>
        <w:keepLines w:val="0"/>
        <w:widowControl/>
        <w:suppressLineNumbers w:val="0"/>
        <w:spacing w:before="0" w:beforeAutospacing="0" w:line="360" w:lineRule="auto"/>
        <w:jc w:val="both"/>
        <w:rPr>
          <w:rFonts w:hint="default" w:ascii="Times New Roman" w:hAnsi="Times New Roman" w:eastAsia="sans-serif" w:cs="Times New Roman"/>
          <w:sz w:val="24"/>
          <w:szCs w:val="24"/>
        </w:rPr>
      </w:pPr>
      <w:r>
        <w:rPr>
          <w:rFonts w:hint="default" w:ascii="Times New Roman" w:hAnsi="Times New Roman" w:eastAsia="sans-serif" w:cs="Times New Roman"/>
          <w:b/>
          <w:bCs/>
          <w:sz w:val="24"/>
          <w:szCs w:val="24"/>
        </w:rPr>
        <w:t>The Technological Dichotomy:</w:t>
      </w:r>
      <w:r>
        <w:rPr>
          <w:rFonts w:hint="default" w:ascii="Times New Roman" w:hAnsi="Times New Roman" w:eastAsia="sans-serif" w:cs="Times New Roman"/>
          <w:sz w:val="24"/>
          <w:szCs w:val="24"/>
        </w:rPr>
        <w:t xml:space="preserve"> The gap between analog teaching and digital industry.</w:t>
      </w:r>
    </w:p>
    <w:p w14:paraId="06386AB8">
      <w:pPr>
        <w:pStyle w:val="9"/>
        <w:keepNext w:val="0"/>
        <w:keepLines w:val="0"/>
        <w:widowControl/>
        <w:suppressLineNumbers w:val="0"/>
        <w:spacing w:before="0" w:beforeAutospacing="0" w:line="360" w:lineRule="auto"/>
        <w:jc w:val="both"/>
        <w:rPr>
          <w:rFonts w:hint="default" w:ascii="Times New Roman" w:hAnsi="Times New Roman" w:eastAsia="sans-serif" w:cs="Times New Roman"/>
          <w:sz w:val="24"/>
          <w:szCs w:val="24"/>
        </w:rPr>
      </w:pPr>
      <w:r>
        <w:rPr>
          <w:rFonts w:hint="default" w:ascii="Times New Roman" w:hAnsi="Times New Roman" w:eastAsia="sans-serif" w:cs="Times New Roman"/>
          <w:b/>
          <w:bCs/>
          <w:sz w:val="24"/>
          <w:szCs w:val="24"/>
        </w:rPr>
        <w:t>Digital Competency Gaps:</w:t>
      </w:r>
      <w:r>
        <w:rPr>
          <w:rFonts w:hint="default" w:ascii="Times New Roman" w:hAnsi="Times New Roman" w:eastAsia="sans-serif" w:cs="Times New Roman"/>
          <w:sz w:val="24"/>
          <w:szCs w:val="24"/>
        </w:rPr>
        <w:t xml:space="preserve"> Lack of proficiency in AI, IoT, and robotics.</w:t>
      </w:r>
    </w:p>
    <w:p w14:paraId="6273EF3F">
      <w:pPr>
        <w:pStyle w:val="9"/>
        <w:keepNext w:val="0"/>
        <w:keepLines w:val="0"/>
        <w:widowControl/>
        <w:suppressLineNumbers w:val="0"/>
        <w:spacing w:before="0" w:beforeAutospacing="0" w:line="360" w:lineRule="auto"/>
        <w:jc w:val="both"/>
        <w:rPr>
          <w:rFonts w:hint="default" w:ascii="Times New Roman" w:hAnsi="Times New Roman" w:eastAsia="sans-serif" w:cs="Times New Roman"/>
          <w:sz w:val="24"/>
          <w:szCs w:val="24"/>
        </w:rPr>
      </w:pPr>
      <w:r>
        <w:rPr>
          <w:rFonts w:hint="default" w:ascii="Times New Roman" w:hAnsi="Times New Roman" w:eastAsia="sans-serif" w:cs="Times New Roman"/>
          <w:b/>
          <w:bCs/>
          <w:sz w:val="24"/>
          <w:szCs w:val="24"/>
        </w:rPr>
        <w:t>Infrastructural and Financial Deficits:</w:t>
      </w:r>
      <w:r>
        <w:rPr>
          <w:rFonts w:hint="default" w:ascii="Times New Roman" w:hAnsi="Times New Roman" w:eastAsia="sans-serif" w:cs="Times New Roman"/>
          <w:sz w:val="24"/>
          <w:szCs w:val="24"/>
        </w:rPr>
        <w:t xml:space="preserve"> Systemic power and connectivity barriers.</w:t>
      </w:r>
    </w:p>
    <w:p w14:paraId="4C4B21F0">
      <w:pPr>
        <w:pStyle w:val="9"/>
        <w:keepNext w:val="0"/>
        <w:keepLines w:val="0"/>
        <w:widowControl/>
        <w:suppressLineNumbers w:val="0"/>
        <w:spacing w:before="0" w:beforeAutospacing="0" w:line="360" w:lineRule="auto"/>
        <w:jc w:val="both"/>
        <w:rPr>
          <w:rFonts w:hint="default" w:ascii="Times New Roman" w:hAnsi="Times New Roman" w:eastAsia="sans-serif" w:cs="Times New Roman"/>
          <w:sz w:val="24"/>
          <w:szCs w:val="24"/>
        </w:rPr>
      </w:pPr>
      <w:r>
        <w:rPr>
          <w:rFonts w:hint="default" w:ascii="Times New Roman" w:hAnsi="Times New Roman" w:eastAsia="sans-serif" w:cs="Times New Roman"/>
          <w:b/>
          <w:bCs/>
          <w:sz w:val="24"/>
          <w:szCs w:val="24"/>
        </w:rPr>
        <w:t>Administrative and Policy Inertia:</w:t>
      </w:r>
      <w:r>
        <w:rPr>
          <w:rFonts w:hint="default" w:ascii="Times New Roman" w:hAnsi="Times New Roman" w:eastAsia="sans-serif" w:cs="Times New Roman"/>
          <w:sz w:val="24"/>
          <w:szCs w:val="24"/>
        </w:rPr>
        <w:t xml:space="preserve"> Bureaucratic delays in curriculum revision.</w:t>
      </w:r>
    </w:p>
    <w:p w14:paraId="4DC4623D">
      <w:pPr>
        <w:pStyle w:val="9"/>
        <w:keepNext w:val="0"/>
        <w:keepLines w:val="0"/>
        <w:widowControl/>
        <w:suppressLineNumbers w:val="0"/>
        <w:spacing w:before="0" w:beforeAutospacing="0" w:line="360" w:lineRule="auto"/>
        <w:jc w:val="both"/>
        <w:rPr>
          <w:rFonts w:hint="default" w:ascii="Times New Roman" w:hAnsi="Times New Roman" w:eastAsia="sans-serif" w:cs="Times New Roman"/>
          <w:sz w:val="24"/>
          <w:szCs w:val="24"/>
        </w:rPr>
      </w:pPr>
      <w:r>
        <w:rPr>
          <w:rFonts w:hint="default" w:ascii="Times New Roman" w:hAnsi="Times New Roman" w:eastAsia="sans-serif" w:cs="Times New Roman"/>
          <w:b/>
          <w:bCs/>
          <w:sz w:val="24"/>
          <w:szCs w:val="24"/>
        </w:rPr>
        <w:t>Psychological Barriers:</w:t>
      </w:r>
      <w:r>
        <w:rPr>
          <w:rFonts w:hint="default" w:ascii="Times New Roman" w:hAnsi="Times New Roman" w:eastAsia="sans-serif" w:cs="Times New Roman"/>
          <w:sz w:val="24"/>
          <w:szCs w:val="24"/>
        </w:rPr>
        <w:t xml:space="preserve"> The "Sense of being lost" and fear of displacement.</w:t>
      </w:r>
    </w:p>
    <w:p w14:paraId="26C8F53A">
      <w:pPr>
        <w:pStyle w:val="9"/>
        <w:keepNext w:val="0"/>
        <w:keepLines w:val="0"/>
        <w:widowControl/>
        <w:suppressLineNumbers w:val="0"/>
        <w:spacing w:before="0" w:beforeAutospacing="0" w:line="360" w:lineRule="auto"/>
        <w:jc w:val="both"/>
        <w:rPr>
          <w:rFonts w:hint="default" w:ascii="Times New Roman" w:hAnsi="Times New Roman" w:eastAsia="sans-serif" w:cs="Times New Roman"/>
          <w:sz w:val="24"/>
          <w:szCs w:val="24"/>
        </w:rPr>
      </w:pPr>
      <w:r>
        <w:rPr>
          <w:rFonts w:hint="default" w:ascii="Times New Roman" w:hAnsi="Times New Roman" w:eastAsia="sans-serif" w:cs="Times New Roman"/>
          <w:b/>
          <w:bCs/>
          <w:sz w:val="24"/>
          <w:szCs w:val="24"/>
        </w:rPr>
        <w:t>Industry-Education Synergy:</w:t>
      </w:r>
      <w:r>
        <w:rPr>
          <w:rFonts w:hint="default" w:ascii="Times New Roman" w:hAnsi="Times New Roman" w:eastAsia="sans-serif" w:cs="Times New Roman"/>
          <w:sz w:val="24"/>
          <w:szCs w:val="24"/>
        </w:rPr>
        <w:t xml:space="preserve"> The need for formal immersion and partnerships.</w:t>
      </w:r>
    </w:p>
    <w:p w14:paraId="3083EBC4">
      <w:pPr>
        <w:pStyle w:val="4"/>
        <w:keepNext w:val="0"/>
        <w:keepLines w:val="0"/>
        <w:widowControl/>
        <w:suppressLineNumbers w:val="0"/>
        <w:spacing w:before="0" w:beforeAutospacing="0" w:line="360" w:lineRule="auto"/>
        <w:jc w:val="both"/>
        <w:rPr>
          <w:rFonts w:hint="default" w:ascii="Times New Roman" w:hAnsi="Times New Roman" w:eastAsia="sans-serif" w:cs="Times New Roman"/>
          <w:sz w:val="24"/>
          <w:szCs w:val="24"/>
        </w:rPr>
      </w:pPr>
      <w:r>
        <w:rPr>
          <w:rFonts w:hint="default" w:ascii="Times New Roman" w:hAnsi="Times New Roman" w:eastAsia="sans-serif" w:cs="Times New Roman"/>
          <w:b/>
          <w:bCs/>
          <w:sz w:val="24"/>
          <w:szCs w:val="24"/>
        </w:rPr>
        <w:t>Quantitative Analysis: Closing the Data Gap</w:t>
      </w:r>
    </w:p>
    <w:p w14:paraId="3DFAC97F">
      <w:pPr>
        <w:pStyle w:val="9"/>
        <w:keepNext w:val="0"/>
        <w:keepLines w:val="0"/>
        <w:widowControl/>
        <w:suppressLineNumbers w:val="0"/>
        <w:spacing w:before="0" w:beforeAutospacing="0" w:line="360" w:lineRule="auto"/>
        <w:jc w:val="both"/>
        <w:rPr>
          <w:rFonts w:hint="default" w:ascii="Times New Roman" w:hAnsi="Times New Roman" w:eastAsia="sans-serif" w:cs="Times New Roman"/>
          <w:sz w:val="24"/>
          <w:szCs w:val="24"/>
        </w:rPr>
      </w:pPr>
      <w:r>
        <w:rPr>
          <w:rFonts w:hint="default" w:ascii="Times New Roman" w:hAnsi="Times New Roman" w:eastAsia="sans-serif" w:cs="Times New Roman"/>
          <w:sz w:val="24"/>
          <w:szCs w:val="24"/>
        </w:rPr>
        <w:t>The regression analysis confirmed the qualitative findings with high statistical significance.</w:t>
      </w:r>
    </w:p>
    <w:p w14:paraId="0215A84E">
      <w:pPr>
        <w:pStyle w:val="9"/>
        <w:keepNext w:val="0"/>
        <w:keepLines w:val="0"/>
        <w:widowControl/>
        <w:suppressLineNumbers w:val="0"/>
        <w:spacing w:before="0" w:beforeAutospacing="0" w:line="360" w:lineRule="auto"/>
        <w:jc w:val="both"/>
        <w:rPr>
          <w:rFonts w:hint="default" w:ascii="Times New Roman" w:hAnsi="Times New Roman" w:eastAsia="sans-serif" w:cs="Times New Roman"/>
          <w:sz w:val="24"/>
          <w:szCs w:val="24"/>
        </w:rPr>
      </w:pPr>
      <w:r>
        <w:rPr>
          <w:rFonts w:hint="default" w:ascii="Times New Roman" w:hAnsi="Times New Roman" w:eastAsia="sans-serif" w:cs="Times New Roman"/>
          <w:b/>
          <w:bCs/>
          <w:sz w:val="24"/>
          <w:szCs w:val="24"/>
        </w:rPr>
        <w:t>Model Accuracy:</w:t>
      </w:r>
      <w:r>
        <w:rPr>
          <w:rFonts w:hint="default" w:ascii="Times New Roman" w:hAnsi="Times New Roman" w:eastAsia="sans-serif" w:cs="Times New Roman"/>
          <w:sz w:val="24"/>
          <w:szCs w:val="24"/>
        </w:rPr>
        <w:t xml:space="preserve"> R^2 = .814 (The model explains 81.4% of preparedness).</w:t>
      </w:r>
    </w:p>
    <w:p w14:paraId="727086F8">
      <w:pPr>
        <w:pStyle w:val="9"/>
        <w:keepNext w:val="0"/>
        <w:keepLines w:val="0"/>
        <w:widowControl/>
        <w:suppressLineNumbers w:val="0"/>
        <w:spacing w:before="0" w:beforeAutospacing="0" w:line="360" w:lineRule="auto"/>
        <w:jc w:val="both"/>
        <w:rPr>
          <w:rFonts w:hint="default" w:ascii="Times New Roman" w:hAnsi="Times New Roman" w:eastAsia="sans-serif" w:cs="Times New Roman"/>
          <w:sz w:val="24"/>
          <w:szCs w:val="24"/>
        </w:rPr>
      </w:pPr>
      <w:r>
        <w:rPr>
          <w:rFonts w:hint="default" w:ascii="Times New Roman" w:hAnsi="Times New Roman" w:eastAsia="sans-serif" w:cs="Times New Roman"/>
          <w:b/>
          <w:bCs/>
          <w:sz w:val="24"/>
          <w:szCs w:val="24"/>
        </w:rPr>
        <w:t>Strongest Predictor:</w:t>
      </w:r>
      <w:r>
        <w:rPr>
          <w:rFonts w:hint="default" w:ascii="Times New Roman" w:hAnsi="Times New Roman" w:eastAsia="sans-serif" w:cs="Times New Roman"/>
          <w:sz w:val="24"/>
          <w:szCs w:val="24"/>
        </w:rPr>
        <w:t xml:space="preserve"> Administrative Practices (beta = .405, p &lt; .001).</w:t>
      </w:r>
    </w:p>
    <w:p w14:paraId="5D4DB586">
      <w:pPr>
        <w:pStyle w:val="9"/>
        <w:keepNext w:val="0"/>
        <w:keepLines w:val="0"/>
        <w:widowControl/>
        <w:suppressLineNumbers w:val="0"/>
        <w:spacing w:before="0" w:beforeAutospacing="0" w:line="360" w:lineRule="auto"/>
        <w:jc w:val="both"/>
        <w:rPr>
          <w:rFonts w:hint="default" w:ascii="Times New Roman" w:hAnsi="Times New Roman" w:eastAsia="sans-serif" w:cs="Times New Roman"/>
          <w:sz w:val="24"/>
          <w:szCs w:val="24"/>
        </w:rPr>
      </w:pPr>
      <w:r>
        <w:rPr>
          <w:rFonts w:hint="default" w:ascii="Times New Roman" w:hAnsi="Times New Roman" w:eastAsia="sans-serif" w:cs="Times New Roman"/>
          <w:b/>
          <w:bCs/>
          <w:sz w:val="24"/>
          <w:szCs w:val="24"/>
        </w:rPr>
        <w:t>Barriers Mitigation:</w:t>
      </w:r>
      <w:r>
        <w:rPr>
          <w:rFonts w:hint="default" w:ascii="Times New Roman" w:hAnsi="Times New Roman" w:eastAsia="sans-serif" w:cs="Times New Roman"/>
          <w:sz w:val="24"/>
          <w:szCs w:val="24"/>
        </w:rPr>
        <w:t xml:space="preserve"> The negative correlation (r = -.586) suggests that as Administrative Practices improve, Implementation Challenges significantly decrease.</w:t>
      </w:r>
    </w:p>
    <w:p w14:paraId="392CC826">
      <w:pPr>
        <w:spacing w:before="100" w:beforeAutospacing="1" w:after="100" w:afterAutospacing="1" w:line="240" w:lineRule="auto"/>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b/>
          <w:bCs/>
          <w:kern w:val="0"/>
          <w:sz w:val="24"/>
          <w:szCs w:val="24"/>
        </w:rPr>
        <w:t>Presentation and Interpretation of Quantitative Data Analysis</w:t>
      </w:r>
    </w:p>
    <w:tbl>
      <w:tblPr>
        <w:tblStyle w:val="6"/>
        <w:tblW w:w="9169" w:type="dxa"/>
        <w:tblInd w:w="0" w:type="dxa"/>
        <w:tblLayout w:type="fixed"/>
        <w:tblCellMar>
          <w:top w:w="0" w:type="dxa"/>
          <w:left w:w="0" w:type="dxa"/>
          <w:bottom w:w="0" w:type="dxa"/>
          <w:right w:w="0" w:type="dxa"/>
        </w:tblCellMar>
      </w:tblPr>
      <w:tblGrid>
        <w:gridCol w:w="801"/>
        <w:gridCol w:w="617"/>
        <w:gridCol w:w="850"/>
        <w:gridCol w:w="993"/>
        <w:gridCol w:w="1417"/>
        <w:gridCol w:w="1418"/>
        <w:gridCol w:w="992"/>
        <w:gridCol w:w="567"/>
        <w:gridCol w:w="567"/>
        <w:gridCol w:w="947"/>
      </w:tblGrid>
      <w:tr w14:paraId="169C5A52">
        <w:tblPrEx>
          <w:tblCellMar>
            <w:top w:w="0" w:type="dxa"/>
            <w:left w:w="0" w:type="dxa"/>
            <w:bottom w:w="0" w:type="dxa"/>
            <w:right w:w="0" w:type="dxa"/>
          </w:tblCellMar>
        </w:tblPrEx>
        <w:trPr>
          <w:cantSplit/>
        </w:trPr>
        <w:tc>
          <w:tcPr>
            <w:tcW w:w="9169" w:type="dxa"/>
            <w:gridSpan w:val="10"/>
            <w:tcBorders>
              <w:top w:val="nil"/>
              <w:left w:val="nil"/>
              <w:bottom w:val="nil"/>
              <w:right w:val="nil"/>
            </w:tcBorders>
            <w:shd w:val="clear" w:color="auto" w:fill="FFFFFF"/>
            <w:vAlign w:val="center"/>
          </w:tcPr>
          <w:p w14:paraId="316675D6">
            <w:pPr>
              <w:autoSpaceDE w:val="0"/>
              <w:autoSpaceDN w:val="0"/>
              <w:adjustRightInd w:val="0"/>
              <w:spacing w:after="0" w:line="320" w:lineRule="atLeast"/>
              <w:ind w:left="60" w:right="60"/>
              <w:jc w:val="center"/>
              <w:rPr>
                <w:rFonts w:hint="default" w:ascii="Times New Roman" w:hAnsi="Times New Roman" w:cs="Times New Roman"/>
                <w:color w:val="010205"/>
                <w:kern w:val="0"/>
                <w:sz w:val="24"/>
                <w:szCs w:val="24"/>
              </w:rPr>
            </w:pPr>
            <w:r>
              <w:rPr>
                <w:rFonts w:hint="default" w:ascii="Sans Serif Collection" w:hAnsi="Sans Serif Collection" w:cs="Sans Serif Collection"/>
                <w:b/>
                <w:bCs/>
                <w:color w:val="010205"/>
                <w:kern w:val="0"/>
                <w:sz w:val="24"/>
                <w:szCs w:val="24"/>
              </w:rPr>
              <w:t xml:space="preserve">Table </w:t>
            </w:r>
            <w:r>
              <w:rPr>
                <w:rFonts w:hint="default" w:ascii="Sans Serif Collection" w:hAnsi="Sans Serif Collection" w:cs="Sans Serif Collection"/>
                <w:b/>
                <w:bCs/>
                <w:color w:val="010205"/>
                <w:kern w:val="0"/>
                <w:sz w:val="24"/>
                <w:szCs w:val="24"/>
                <w:lang w:val="en-US"/>
              </w:rPr>
              <w:t>3</w:t>
            </w:r>
            <w:r>
              <w:rPr>
                <w:rFonts w:hint="default" w:ascii="Sans Serif Collection" w:hAnsi="Sans Serif Collection" w:cs="Sans Serif Collection"/>
                <w:b/>
                <w:bCs/>
                <w:color w:val="010205"/>
                <w:kern w:val="0"/>
                <w:sz w:val="24"/>
                <w:szCs w:val="24"/>
              </w:rPr>
              <w:t xml:space="preserve"> - Model Summary</w:t>
            </w:r>
          </w:p>
        </w:tc>
      </w:tr>
      <w:tr w14:paraId="2874C4AD">
        <w:tblPrEx>
          <w:tblCellMar>
            <w:top w:w="0" w:type="dxa"/>
            <w:left w:w="0" w:type="dxa"/>
            <w:bottom w:w="0" w:type="dxa"/>
            <w:right w:w="0" w:type="dxa"/>
          </w:tblCellMar>
        </w:tblPrEx>
        <w:trPr>
          <w:cantSplit/>
        </w:trPr>
        <w:tc>
          <w:tcPr>
            <w:tcW w:w="801" w:type="dxa"/>
            <w:vMerge w:val="restart"/>
            <w:tcBorders>
              <w:top w:val="nil"/>
              <w:left w:val="nil"/>
              <w:bottom w:val="nil"/>
              <w:right w:val="nil"/>
            </w:tcBorders>
            <w:shd w:val="clear" w:color="auto" w:fill="FFFFFF"/>
            <w:vAlign w:val="bottom"/>
          </w:tcPr>
          <w:p w14:paraId="2DB1048E">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Model</w:t>
            </w:r>
          </w:p>
        </w:tc>
        <w:tc>
          <w:tcPr>
            <w:tcW w:w="617" w:type="dxa"/>
            <w:vMerge w:val="restart"/>
            <w:tcBorders>
              <w:top w:val="nil"/>
              <w:left w:val="nil"/>
              <w:bottom w:val="nil"/>
              <w:right w:val="single" w:color="E0E0E0" w:sz="8" w:space="0"/>
            </w:tcBorders>
            <w:shd w:val="clear" w:color="auto" w:fill="FFFFFF"/>
            <w:vAlign w:val="bottom"/>
          </w:tcPr>
          <w:p w14:paraId="080E5FFF">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R</w:t>
            </w:r>
          </w:p>
        </w:tc>
        <w:tc>
          <w:tcPr>
            <w:tcW w:w="850" w:type="dxa"/>
            <w:vMerge w:val="restart"/>
            <w:tcBorders>
              <w:top w:val="nil"/>
              <w:left w:val="single" w:color="E0E0E0" w:sz="8" w:space="0"/>
              <w:bottom w:val="nil"/>
              <w:right w:val="single" w:color="E0E0E0" w:sz="8" w:space="0"/>
            </w:tcBorders>
            <w:shd w:val="clear" w:color="auto" w:fill="FFFFFF"/>
            <w:vAlign w:val="bottom"/>
          </w:tcPr>
          <w:p w14:paraId="507364BC">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R Square</w:t>
            </w:r>
          </w:p>
        </w:tc>
        <w:tc>
          <w:tcPr>
            <w:tcW w:w="993" w:type="dxa"/>
            <w:vMerge w:val="restart"/>
            <w:tcBorders>
              <w:top w:val="nil"/>
              <w:left w:val="single" w:color="E0E0E0" w:sz="8" w:space="0"/>
              <w:bottom w:val="nil"/>
              <w:right w:val="single" w:color="E0E0E0" w:sz="8" w:space="0"/>
            </w:tcBorders>
            <w:shd w:val="clear" w:color="auto" w:fill="FFFFFF"/>
            <w:vAlign w:val="bottom"/>
          </w:tcPr>
          <w:p w14:paraId="4BC465FB">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Adjusted R Square</w:t>
            </w:r>
          </w:p>
        </w:tc>
        <w:tc>
          <w:tcPr>
            <w:tcW w:w="1417" w:type="dxa"/>
            <w:vMerge w:val="restart"/>
            <w:tcBorders>
              <w:top w:val="nil"/>
              <w:left w:val="single" w:color="E0E0E0" w:sz="8" w:space="0"/>
              <w:bottom w:val="nil"/>
              <w:right w:val="single" w:color="E0E0E0" w:sz="8" w:space="0"/>
            </w:tcBorders>
            <w:shd w:val="clear" w:color="auto" w:fill="FFFFFF"/>
            <w:vAlign w:val="bottom"/>
          </w:tcPr>
          <w:p w14:paraId="4FEAC9A0">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Std. Error of the Estimate</w:t>
            </w:r>
          </w:p>
        </w:tc>
        <w:tc>
          <w:tcPr>
            <w:tcW w:w="4491" w:type="dxa"/>
            <w:gridSpan w:val="5"/>
            <w:tcBorders>
              <w:top w:val="nil"/>
              <w:left w:val="single" w:color="E0E0E0" w:sz="8" w:space="0"/>
              <w:bottom w:val="nil"/>
              <w:right w:val="nil"/>
            </w:tcBorders>
            <w:shd w:val="clear" w:color="auto" w:fill="FFFFFF"/>
            <w:vAlign w:val="bottom"/>
          </w:tcPr>
          <w:p w14:paraId="1D8022EE">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Change Statistics</w:t>
            </w:r>
          </w:p>
        </w:tc>
      </w:tr>
      <w:tr w14:paraId="1BE083E3">
        <w:tblPrEx>
          <w:tblCellMar>
            <w:top w:w="0" w:type="dxa"/>
            <w:left w:w="0" w:type="dxa"/>
            <w:bottom w:w="0" w:type="dxa"/>
            <w:right w:w="0" w:type="dxa"/>
          </w:tblCellMar>
        </w:tblPrEx>
        <w:trPr>
          <w:cantSplit/>
        </w:trPr>
        <w:tc>
          <w:tcPr>
            <w:tcW w:w="801" w:type="dxa"/>
            <w:vMerge w:val="continue"/>
            <w:tcBorders>
              <w:top w:val="nil"/>
              <w:left w:val="nil"/>
              <w:bottom w:val="nil"/>
              <w:right w:val="nil"/>
            </w:tcBorders>
            <w:shd w:val="clear" w:color="auto" w:fill="FFFFFF"/>
            <w:vAlign w:val="bottom"/>
          </w:tcPr>
          <w:p w14:paraId="66F2D9D3">
            <w:pPr>
              <w:autoSpaceDE w:val="0"/>
              <w:autoSpaceDN w:val="0"/>
              <w:adjustRightInd w:val="0"/>
              <w:spacing w:after="0" w:line="240" w:lineRule="auto"/>
              <w:jc w:val="both"/>
              <w:rPr>
                <w:rFonts w:hint="default" w:ascii="Times New Roman" w:hAnsi="Times New Roman" w:cs="Times New Roman"/>
                <w:color w:val="264A60"/>
                <w:kern w:val="0"/>
                <w:sz w:val="24"/>
                <w:szCs w:val="24"/>
              </w:rPr>
            </w:pPr>
          </w:p>
        </w:tc>
        <w:tc>
          <w:tcPr>
            <w:tcW w:w="617" w:type="dxa"/>
            <w:vMerge w:val="continue"/>
            <w:tcBorders>
              <w:top w:val="nil"/>
              <w:left w:val="nil"/>
              <w:bottom w:val="nil"/>
              <w:right w:val="single" w:color="E0E0E0" w:sz="8" w:space="0"/>
            </w:tcBorders>
            <w:shd w:val="clear" w:color="auto" w:fill="FFFFFF"/>
            <w:vAlign w:val="bottom"/>
          </w:tcPr>
          <w:p w14:paraId="2254392A">
            <w:pPr>
              <w:autoSpaceDE w:val="0"/>
              <w:autoSpaceDN w:val="0"/>
              <w:adjustRightInd w:val="0"/>
              <w:spacing w:after="0" w:line="240" w:lineRule="auto"/>
              <w:jc w:val="both"/>
              <w:rPr>
                <w:rFonts w:hint="default" w:ascii="Times New Roman" w:hAnsi="Times New Roman" w:cs="Times New Roman"/>
                <w:color w:val="264A60"/>
                <w:kern w:val="0"/>
                <w:sz w:val="24"/>
                <w:szCs w:val="24"/>
              </w:rPr>
            </w:pPr>
          </w:p>
        </w:tc>
        <w:tc>
          <w:tcPr>
            <w:tcW w:w="850" w:type="dxa"/>
            <w:vMerge w:val="continue"/>
            <w:tcBorders>
              <w:top w:val="nil"/>
              <w:left w:val="single" w:color="E0E0E0" w:sz="8" w:space="0"/>
              <w:bottom w:val="nil"/>
              <w:right w:val="single" w:color="E0E0E0" w:sz="8" w:space="0"/>
            </w:tcBorders>
            <w:shd w:val="clear" w:color="auto" w:fill="FFFFFF"/>
            <w:vAlign w:val="bottom"/>
          </w:tcPr>
          <w:p w14:paraId="01C583FB">
            <w:pPr>
              <w:autoSpaceDE w:val="0"/>
              <w:autoSpaceDN w:val="0"/>
              <w:adjustRightInd w:val="0"/>
              <w:spacing w:after="0" w:line="240" w:lineRule="auto"/>
              <w:jc w:val="both"/>
              <w:rPr>
                <w:rFonts w:hint="default" w:ascii="Times New Roman" w:hAnsi="Times New Roman" w:cs="Times New Roman"/>
                <w:color w:val="264A60"/>
                <w:kern w:val="0"/>
                <w:sz w:val="24"/>
                <w:szCs w:val="24"/>
              </w:rPr>
            </w:pPr>
          </w:p>
        </w:tc>
        <w:tc>
          <w:tcPr>
            <w:tcW w:w="993" w:type="dxa"/>
            <w:vMerge w:val="continue"/>
            <w:tcBorders>
              <w:top w:val="nil"/>
              <w:left w:val="single" w:color="E0E0E0" w:sz="8" w:space="0"/>
              <w:bottom w:val="nil"/>
              <w:right w:val="single" w:color="E0E0E0" w:sz="8" w:space="0"/>
            </w:tcBorders>
            <w:shd w:val="clear" w:color="auto" w:fill="FFFFFF"/>
            <w:vAlign w:val="bottom"/>
          </w:tcPr>
          <w:p w14:paraId="712C8C29">
            <w:pPr>
              <w:autoSpaceDE w:val="0"/>
              <w:autoSpaceDN w:val="0"/>
              <w:adjustRightInd w:val="0"/>
              <w:spacing w:after="0" w:line="240" w:lineRule="auto"/>
              <w:jc w:val="both"/>
              <w:rPr>
                <w:rFonts w:hint="default" w:ascii="Times New Roman" w:hAnsi="Times New Roman" w:cs="Times New Roman"/>
                <w:color w:val="264A60"/>
                <w:kern w:val="0"/>
                <w:sz w:val="24"/>
                <w:szCs w:val="24"/>
              </w:rPr>
            </w:pPr>
          </w:p>
        </w:tc>
        <w:tc>
          <w:tcPr>
            <w:tcW w:w="1417" w:type="dxa"/>
            <w:vMerge w:val="continue"/>
            <w:tcBorders>
              <w:top w:val="nil"/>
              <w:left w:val="single" w:color="E0E0E0" w:sz="8" w:space="0"/>
              <w:bottom w:val="nil"/>
              <w:right w:val="single" w:color="E0E0E0" w:sz="8" w:space="0"/>
            </w:tcBorders>
            <w:shd w:val="clear" w:color="auto" w:fill="FFFFFF"/>
            <w:vAlign w:val="bottom"/>
          </w:tcPr>
          <w:p w14:paraId="3A17D9AC">
            <w:pPr>
              <w:autoSpaceDE w:val="0"/>
              <w:autoSpaceDN w:val="0"/>
              <w:adjustRightInd w:val="0"/>
              <w:spacing w:after="0" w:line="240" w:lineRule="auto"/>
              <w:jc w:val="both"/>
              <w:rPr>
                <w:rFonts w:hint="default" w:ascii="Times New Roman" w:hAnsi="Times New Roman" w:cs="Times New Roman"/>
                <w:color w:val="264A60"/>
                <w:kern w:val="0"/>
                <w:sz w:val="24"/>
                <w:szCs w:val="24"/>
              </w:rPr>
            </w:pPr>
          </w:p>
        </w:tc>
        <w:tc>
          <w:tcPr>
            <w:tcW w:w="1418" w:type="dxa"/>
            <w:tcBorders>
              <w:top w:val="nil"/>
              <w:left w:val="single" w:color="E0E0E0" w:sz="8" w:space="0"/>
              <w:bottom w:val="single" w:color="152935" w:sz="8" w:space="0"/>
              <w:right w:val="single" w:color="E0E0E0" w:sz="8" w:space="0"/>
            </w:tcBorders>
            <w:shd w:val="clear" w:color="auto" w:fill="FFFFFF"/>
            <w:vAlign w:val="bottom"/>
          </w:tcPr>
          <w:p w14:paraId="53138E92">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R Square Change</w:t>
            </w:r>
          </w:p>
        </w:tc>
        <w:tc>
          <w:tcPr>
            <w:tcW w:w="992" w:type="dxa"/>
            <w:tcBorders>
              <w:top w:val="nil"/>
              <w:left w:val="single" w:color="E0E0E0" w:sz="8" w:space="0"/>
              <w:bottom w:val="single" w:color="152935" w:sz="8" w:space="0"/>
              <w:right w:val="single" w:color="E0E0E0" w:sz="8" w:space="0"/>
            </w:tcBorders>
            <w:shd w:val="clear" w:color="auto" w:fill="FFFFFF"/>
            <w:vAlign w:val="bottom"/>
          </w:tcPr>
          <w:p w14:paraId="078D32BF">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F Change</w:t>
            </w:r>
          </w:p>
        </w:tc>
        <w:tc>
          <w:tcPr>
            <w:tcW w:w="567" w:type="dxa"/>
            <w:tcBorders>
              <w:top w:val="nil"/>
              <w:left w:val="single" w:color="E0E0E0" w:sz="8" w:space="0"/>
              <w:bottom w:val="single" w:color="152935" w:sz="8" w:space="0"/>
              <w:right w:val="single" w:color="E0E0E0" w:sz="8" w:space="0"/>
            </w:tcBorders>
            <w:shd w:val="clear" w:color="auto" w:fill="FFFFFF"/>
            <w:vAlign w:val="bottom"/>
          </w:tcPr>
          <w:p w14:paraId="4ED2330F">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df1</w:t>
            </w:r>
          </w:p>
        </w:tc>
        <w:tc>
          <w:tcPr>
            <w:tcW w:w="567" w:type="dxa"/>
            <w:tcBorders>
              <w:top w:val="nil"/>
              <w:left w:val="single" w:color="E0E0E0" w:sz="8" w:space="0"/>
              <w:bottom w:val="single" w:color="152935" w:sz="8" w:space="0"/>
              <w:right w:val="single" w:color="E0E0E0" w:sz="8" w:space="0"/>
            </w:tcBorders>
            <w:shd w:val="clear" w:color="auto" w:fill="FFFFFF"/>
            <w:vAlign w:val="bottom"/>
          </w:tcPr>
          <w:p w14:paraId="6A083F34">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df2</w:t>
            </w:r>
          </w:p>
        </w:tc>
        <w:tc>
          <w:tcPr>
            <w:tcW w:w="947" w:type="dxa"/>
            <w:tcBorders>
              <w:top w:val="nil"/>
              <w:left w:val="single" w:color="E0E0E0" w:sz="8" w:space="0"/>
              <w:bottom w:val="single" w:color="152935" w:sz="8" w:space="0"/>
              <w:right w:val="nil"/>
            </w:tcBorders>
            <w:shd w:val="clear" w:color="auto" w:fill="FFFFFF"/>
            <w:vAlign w:val="bottom"/>
          </w:tcPr>
          <w:p w14:paraId="57CA517E">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Sig. F Change</w:t>
            </w:r>
          </w:p>
        </w:tc>
      </w:tr>
      <w:tr w14:paraId="06F0D131">
        <w:tblPrEx>
          <w:tblCellMar>
            <w:top w:w="0" w:type="dxa"/>
            <w:left w:w="0" w:type="dxa"/>
            <w:bottom w:w="0" w:type="dxa"/>
            <w:right w:w="0" w:type="dxa"/>
          </w:tblCellMar>
        </w:tblPrEx>
        <w:trPr>
          <w:cantSplit/>
        </w:trPr>
        <w:tc>
          <w:tcPr>
            <w:tcW w:w="801" w:type="dxa"/>
            <w:tcBorders>
              <w:top w:val="single" w:color="152935" w:sz="8" w:space="0"/>
              <w:left w:val="nil"/>
              <w:bottom w:val="single" w:color="152935" w:sz="8" w:space="0"/>
              <w:right w:val="nil"/>
            </w:tcBorders>
            <w:shd w:val="clear" w:color="auto" w:fill="E0E0E0"/>
          </w:tcPr>
          <w:p w14:paraId="367E0E80">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1</w:t>
            </w:r>
          </w:p>
        </w:tc>
        <w:tc>
          <w:tcPr>
            <w:tcW w:w="617" w:type="dxa"/>
            <w:tcBorders>
              <w:top w:val="single" w:color="152935" w:sz="8" w:space="0"/>
              <w:left w:val="nil"/>
              <w:bottom w:val="single" w:color="152935" w:sz="8" w:space="0"/>
              <w:right w:val="single" w:color="E0E0E0" w:sz="8" w:space="0"/>
            </w:tcBorders>
            <w:shd w:val="clear" w:color="auto" w:fill="F9F9FB"/>
          </w:tcPr>
          <w:p w14:paraId="317B87A1">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.902</w:t>
            </w:r>
          </w:p>
        </w:tc>
        <w:tc>
          <w:tcPr>
            <w:tcW w:w="850" w:type="dxa"/>
            <w:tcBorders>
              <w:top w:val="single" w:color="152935" w:sz="8" w:space="0"/>
              <w:left w:val="single" w:color="E0E0E0" w:sz="8" w:space="0"/>
              <w:bottom w:val="single" w:color="152935" w:sz="8" w:space="0"/>
              <w:right w:val="single" w:color="E0E0E0" w:sz="8" w:space="0"/>
            </w:tcBorders>
            <w:shd w:val="clear" w:color="auto" w:fill="F9F9FB"/>
          </w:tcPr>
          <w:p w14:paraId="242DD2A1">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.814</w:t>
            </w:r>
          </w:p>
        </w:tc>
        <w:tc>
          <w:tcPr>
            <w:tcW w:w="993" w:type="dxa"/>
            <w:tcBorders>
              <w:top w:val="single" w:color="152935" w:sz="8" w:space="0"/>
              <w:left w:val="single" w:color="E0E0E0" w:sz="8" w:space="0"/>
              <w:bottom w:val="single" w:color="152935" w:sz="8" w:space="0"/>
              <w:right w:val="single" w:color="E0E0E0" w:sz="8" w:space="0"/>
            </w:tcBorders>
            <w:shd w:val="clear" w:color="auto" w:fill="F9F9FB"/>
          </w:tcPr>
          <w:p w14:paraId="28BC32FB">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.811</w:t>
            </w:r>
          </w:p>
        </w:tc>
        <w:tc>
          <w:tcPr>
            <w:tcW w:w="1417" w:type="dxa"/>
            <w:tcBorders>
              <w:top w:val="single" w:color="152935" w:sz="8" w:space="0"/>
              <w:left w:val="single" w:color="E0E0E0" w:sz="8" w:space="0"/>
              <w:bottom w:val="single" w:color="152935" w:sz="8" w:space="0"/>
              <w:right w:val="single" w:color="E0E0E0" w:sz="8" w:space="0"/>
            </w:tcBorders>
            <w:shd w:val="clear" w:color="auto" w:fill="F9F9FB"/>
          </w:tcPr>
          <w:p w14:paraId="45842F35">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.377</w:t>
            </w:r>
          </w:p>
        </w:tc>
        <w:tc>
          <w:tcPr>
            <w:tcW w:w="1418" w:type="dxa"/>
            <w:tcBorders>
              <w:top w:val="single" w:color="152935" w:sz="8" w:space="0"/>
              <w:left w:val="single" w:color="E0E0E0" w:sz="8" w:space="0"/>
              <w:bottom w:val="single" w:color="152935" w:sz="8" w:space="0"/>
              <w:right w:val="single" w:color="E0E0E0" w:sz="8" w:space="0"/>
            </w:tcBorders>
            <w:shd w:val="clear" w:color="auto" w:fill="F9F9FB"/>
          </w:tcPr>
          <w:p w14:paraId="4A05F07B">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.814</w:t>
            </w:r>
          </w:p>
        </w:tc>
        <w:tc>
          <w:tcPr>
            <w:tcW w:w="992" w:type="dxa"/>
            <w:tcBorders>
              <w:top w:val="single" w:color="152935" w:sz="8" w:space="0"/>
              <w:left w:val="single" w:color="E0E0E0" w:sz="8" w:space="0"/>
              <w:bottom w:val="single" w:color="152935" w:sz="8" w:space="0"/>
              <w:right w:val="single" w:color="E0E0E0" w:sz="8" w:space="0"/>
            </w:tcBorders>
            <w:shd w:val="clear" w:color="auto" w:fill="F9F9FB"/>
          </w:tcPr>
          <w:p w14:paraId="5E6D197C">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213.579</w:t>
            </w:r>
          </w:p>
        </w:tc>
        <w:tc>
          <w:tcPr>
            <w:tcW w:w="567" w:type="dxa"/>
            <w:tcBorders>
              <w:top w:val="single" w:color="152935" w:sz="8" w:space="0"/>
              <w:left w:val="single" w:color="E0E0E0" w:sz="8" w:space="0"/>
              <w:bottom w:val="single" w:color="152935" w:sz="8" w:space="0"/>
              <w:right w:val="single" w:color="E0E0E0" w:sz="8" w:space="0"/>
            </w:tcBorders>
            <w:shd w:val="clear" w:color="auto" w:fill="F9F9FB"/>
          </w:tcPr>
          <w:p w14:paraId="03FFF9EB">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3</w:t>
            </w:r>
          </w:p>
        </w:tc>
        <w:tc>
          <w:tcPr>
            <w:tcW w:w="567" w:type="dxa"/>
            <w:tcBorders>
              <w:top w:val="single" w:color="152935" w:sz="8" w:space="0"/>
              <w:left w:val="single" w:color="E0E0E0" w:sz="8" w:space="0"/>
              <w:bottom w:val="single" w:color="152935" w:sz="8" w:space="0"/>
              <w:right w:val="single" w:color="E0E0E0" w:sz="8" w:space="0"/>
            </w:tcBorders>
            <w:shd w:val="clear" w:color="auto" w:fill="F9F9FB"/>
          </w:tcPr>
          <w:p w14:paraId="6BEAA063">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146</w:t>
            </w:r>
          </w:p>
        </w:tc>
        <w:tc>
          <w:tcPr>
            <w:tcW w:w="947" w:type="dxa"/>
            <w:tcBorders>
              <w:top w:val="single" w:color="152935" w:sz="8" w:space="0"/>
              <w:left w:val="single" w:color="E0E0E0" w:sz="8" w:space="0"/>
              <w:bottom w:val="single" w:color="152935" w:sz="8" w:space="0"/>
              <w:right w:val="nil"/>
            </w:tcBorders>
            <w:shd w:val="clear" w:color="auto" w:fill="F9F9FB"/>
          </w:tcPr>
          <w:p w14:paraId="7E169782">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 xml:space="preserve"> &lt;.001</w:t>
            </w:r>
          </w:p>
        </w:tc>
      </w:tr>
      <w:tr w14:paraId="40B88F20">
        <w:tblPrEx>
          <w:tblCellMar>
            <w:top w:w="0" w:type="dxa"/>
            <w:left w:w="0" w:type="dxa"/>
            <w:bottom w:w="0" w:type="dxa"/>
            <w:right w:w="0" w:type="dxa"/>
          </w:tblCellMar>
        </w:tblPrEx>
        <w:trPr>
          <w:cantSplit/>
        </w:trPr>
        <w:tc>
          <w:tcPr>
            <w:tcW w:w="9169" w:type="dxa"/>
            <w:gridSpan w:val="10"/>
            <w:tcBorders>
              <w:top w:val="nil"/>
              <w:left w:val="nil"/>
              <w:bottom w:val="nil"/>
              <w:right w:val="nil"/>
            </w:tcBorders>
            <w:shd w:val="clear" w:color="auto" w:fill="FFFFFF"/>
          </w:tcPr>
          <w:p w14:paraId="4A034F8A">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a. Predictors: (Constant), Institutional Outcomes (IO), Administrative Practices (AP), Implementation Challenges (IC)</w:t>
            </w:r>
          </w:p>
        </w:tc>
      </w:tr>
    </w:tbl>
    <w:p w14:paraId="32AA8319">
      <w:pPr>
        <w:spacing w:before="100" w:beforeAutospacing="1" w:after="100" w:afterAutospacing="1" w:line="240" w:lineRule="auto"/>
        <w:jc w:val="both"/>
        <w:rPr>
          <w:rFonts w:hint="default" w:ascii="Times New Roman" w:hAnsi="Times New Roman" w:eastAsia="Times New Roman" w:cs="Times New Roman"/>
          <w:kern w:val="0"/>
          <w:sz w:val="24"/>
          <w:szCs w:val="24"/>
        </w:rPr>
      </w:pPr>
    </w:p>
    <w:tbl>
      <w:tblPr>
        <w:tblStyle w:val="6"/>
        <w:tblW w:w="9213" w:type="dxa"/>
        <w:tblInd w:w="0" w:type="dxa"/>
        <w:tblLayout w:type="fixed"/>
        <w:tblCellMar>
          <w:top w:w="0" w:type="dxa"/>
          <w:left w:w="0" w:type="dxa"/>
          <w:bottom w:w="0" w:type="dxa"/>
          <w:right w:w="0" w:type="dxa"/>
        </w:tblCellMar>
      </w:tblPr>
      <w:tblGrid>
        <w:gridCol w:w="857"/>
        <w:gridCol w:w="1384"/>
        <w:gridCol w:w="1718"/>
        <w:gridCol w:w="1192"/>
        <w:gridCol w:w="1525"/>
        <w:gridCol w:w="1192"/>
        <w:gridCol w:w="1345"/>
      </w:tblGrid>
      <w:tr w14:paraId="6FF913EF">
        <w:tblPrEx>
          <w:tblCellMar>
            <w:top w:w="0" w:type="dxa"/>
            <w:left w:w="0" w:type="dxa"/>
            <w:bottom w:w="0" w:type="dxa"/>
            <w:right w:w="0" w:type="dxa"/>
          </w:tblCellMar>
        </w:tblPrEx>
        <w:trPr>
          <w:cantSplit/>
        </w:trPr>
        <w:tc>
          <w:tcPr>
            <w:tcW w:w="9213" w:type="dxa"/>
            <w:gridSpan w:val="7"/>
            <w:tcBorders>
              <w:top w:val="nil"/>
              <w:left w:val="nil"/>
              <w:bottom w:val="nil"/>
              <w:right w:val="nil"/>
            </w:tcBorders>
            <w:shd w:val="clear" w:color="auto" w:fill="FFFFFF"/>
            <w:vAlign w:val="center"/>
          </w:tcPr>
          <w:p w14:paraId="5E527CCD">
            <w:pPr>
              <w:autoSpaceDE w:val="0"/>
              <w:autoSpaceDN w:val="0"/>
              <w:adjustRightInd w:val="0"/>
              <w:spacing w:after="0" w:line="320" w:lineRule="atLeast"/>
              <w:ind w:left="60" w:right="60"/>
              <w:jc w:val="center"/>
              <w:rPr>
                <w:rFonts w:hint="default" w:ascii="Times New Roman" w:hAnsi="Times New Roman" w:cs="Times New Roman"/>
                <w:color w:val="010205"/>
                <w:kern w:val="0"/>
                <w:sz w:val="24"/>
                <w:szCs w:val="24"/>
              </w:rPr>
            </w:pPr>
            <w:r>
              <w:rPr>
                <w:rFonts w:hint="default" w:ascii="Sans Serif Collection" w:hAnsi="Sans Serif Collection" w:cs="Sans Serif Collection"/>
                <w:b/>
                <w:bCs/>
                <w:color w:val="010205"/>
                <w:kern w:val="0"/>
                <w:sz w:val="24"/>
                <w:szCs w:val="24"/>
              </w:rPr>
              <w:t xml:space="preserve">Table </w:t>
            </w:r>
            <w:r>
              <w:rPr>
                <w:rFonts w:hint="default" w:ascii="Sans Serif Collection" w:hAnsi="Sans Serif Collection" w:cs="Sans Serif Collection"/>
                <w:b/>
                <w:bCs/>
                <w:color w:val="010205"/>
                <w:kern w:val="0"/>
                <w:sz w:val="24"/>
                <w:szCs w:val="24"/>
                <w:lang w:val="en-US"/>
              </w:rPr>
              <w:t>4</w:t>
            </w:r>
            <w:r>
              <w:rPr>
                <w:rFonts w:hint="default" w:ascii="Sans Serif Collection" w:hAnsi="Sans Serif Collection" w:cs="Sans Serif Collection"/>
                <w:b/>
                <w:bCs/>
                <w:color w:val="010205"/>
                <w:kern w:val="0"/>
                <w:sz w:val="24"/>
                <w:szCs w:val="24"/>
              </w:rPr>
              <w:t xml:space="preserve"> -  ANOVA</w:t>
            </w:r>
          </w:p>
        </w:tc>
      </w:tr>
      <w:tr w14:paraId="5880F21A">
        <w:tblPrEx>
          <w:tblCellMar>
            <w:top w:w="0" w:type="dxa"/>
            <w:left w:w="0" w:type="dxa"/>
            <w:bottom w:w="0" w:type="dxa"/>
            <w:right w:w="0" w:type="dxa"/>
          </w:tblCellMar>
        </w:tblPrEx>
        <w:trPr>
          <w:cantSplit/>
        </w:trPr>
        <w:tc>
          <w:tcPr>
            <w:tcW w:w="2241" w:type="dxa"/>
            <w:gridSpan w:val="2"/>
            <w:tcBorders>
              <w:top w:val="nil"/>
              <w:left w:val="nil"/>
              <w:bottom w:val="single" w:color="152935" w:sz="8" w:space="0"/>
              <w:right w:val="nil"/>
            </w:tcBorders>
            <w:shd w:val="clear" w:color="auto" w:fill="FFFFFF"/>
            <w:vAlign w:val="bottom"/>
          </w:tcPr>
          <w:p w14:paraId="355EF6ED">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Model</w:t>
            </w:r>
          </w:p>
        </w:tc>
        <w:tc>
          <w:tcPr>
            <w:tcW w:w="1718" w:type="dxa"/>
            <w:tcBorders>
              <w:top w:val="nil"/>
              <w:left w:val="nil"/>
              <w:bottom w:val="single" w:color="152935" w:sz="8" w:space="0"/>
              <w:right w:val="single" w:color="E0E0E0" w:sz="8" w:space="0"/>
            </w:tcBorders>
            <w:shd w:val="clear" w:color="auto" w:fill="FFFFFF"/>
            <w:vAlign w:val="bottom"/>
          </w:tcPr>
          <w:p w14:paraId="09B767C5">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Sum of Squares</w:t>
            </w:r>
          </w:p>
        </w:tc>
        <w:tc>
          <w:tcPr>
            <w:tcW w:w="1192" w:type="dxa"/>
            <w:tcBorders>
              <w:top w:val="nil"/>
              <w:left w:val="single" w:color="E0E0E0" w:sz="8" w:space="0"/>
              <w:bottom w:val="single" w:color="152935" w:sz="8" w:space="0"/>
              <w:right w:val="single" w:color="E0E0E0" w:sz="8" w:space="0"/>
            </w:tcBorders>
            <w:shd w:val="clear" w:color="auto" w:fill="FFFFFF"/>
            <w:vAlign w:val="bottom"/>
          </w:tcPr>
          <w:p w14:paraId="787FEB75">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df</w:t>
            </w:r>
          </w:p>
        </w:tc>
        <w:tc>
          <w:tcPr>
            <w:tcW w:w="1525" w:type="dxa"/>
            <w:tcBorders>
              <w:top w:val="nil"/>
              <w:left w:val="single" w:color="E0E0E0" w:sz="8" w:space="0"/>
              <w:bottom w:val="single" w:color="152935" w:sz="8" w:space="0"/>
              <w:right w:val="single" w:color="E0E0E0" w:sz="8" w:space="0"/>
            </w:tcBorders>
            <w:shd w:val="clear" w:color="auto" w:fill="FFFFFF"/>
            <w:vAlign w:val="bottom"/>
          </w:tcPr>
          <w:p w14:paraId="209D5BC8">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Mean Square</w:t>
            </w:r>
          </w:p>
        </w:tc>
        <w:tc>
          <w:tcPr>
            <w:tcW w:w="1192" w:type="dxa"/>
            <w:tcBorders>
              <w:top w:val="nil"/>
              <w:left w:val="single" w:color="E0E0E0" w:sz="8" w:space="0"/>
              <w:bottom w:val="single" w:color="152935" w:sz="8" w:space="0"/>
              <w:right w:val="single" w:color="E0E0E0" w:sz="8" w:space="0"/>
            </w:tcBorders>
            <w:shd w:val="clear" w:color="auto" w:fill="FFFFFF"/>
            <w:vAlign w:val="bottom"/>
          </w:tcPr>
          <w:p w14:paraId="2E11958E">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F</w:t>
            </w:r>
          </w:p>
        </w:tc>
        <w:tc>
          <w:tcPr>
            <w:tcW w:w="1345" w:type="dxa"/>
            <w:tcBorders>
              <w:top w:val="nil"/>
              <w:left w:val="single" w:color="E0E0E0" w:sz="8" w:space="0"/>
              <w:bottom w:val="single" w:color="152935" w:sz="8" w:space="0"/>
              <w:right w:val="nil"/>
            </w:tcBorders>
            <w:shd w:val="clear" w:color="auto" w:fill="FFFFFF"/>
            <w:vAlign w:val="bottom"/>
          </w:tcPr>
          <w:p w14:paraId="739AEDC5">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Sig.</w:t>
            </w:r>
          </w:p>
        </w:tc>
      </w:tr>
      <w:tr w14:paraId="3FF89CF4">
        <w:tblPrEx>
          <w:tblCellMar>
            <w:top w:w="0" w:type="dxa"/>
            <w:left w:w="0" w:type="dxa"/>
            <w:bottom w:w="0" w:type="dxa"/>
            <w:right w:w="0" w:type="dxa"/>
          </w:tblCellMar>
        </w:tblPrEx>
        <w:trPr>
          <w:cantSplit/>
        </w:trPr>
        <w:tc>
          <w:tcPr>
            <w:tcW w:w="857" w:type="dxa"/>
            <w:vMerge w:val="restart"/>
            <w:tcBorders>
              <w:top w:val="single" w:color="152935" w:sz="8" w:space="0"/>
              <w:left w:val="nil"/>
              <w:bottom w:val="single" w:color="152935" w:sz="8" w:space="0"/>
              <w:right w:val="nil"/>
            </w:tcBorders>
            <w:shd w:val="clear" w:color="auto" w:fill="E0E0E0"/>
          </w:tcPr>
          <w:p w14:paraId="22E70979">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1</w:t>
            </w:r>
          </w:p>
        </w:tc>
        <w:tc>
          <w:tcPr>
            <w:tcW w:w="1384" w:type="dxa"/>
            <w:tcBorders>
              <w:top w:val="single" w:color="152935" w:sz="8" w:space="0"/>
              <w:left w:val="nil"/>
              <w:bottom w:val="single" w:color="AEAEAE" w:sz="8" w:space="0"/>
              <w:right w:val="nil"/>
            </w:tcBorders>
            <w:shd w:val="clear" w:color="auto" w:fill="E0E0E0"/>
          </w:tcPr>
          <w:p w14:paraId="5B8E09F2">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Regression</w:t>
            </w:r>
          </w:p>
        </w:tc>
        <w:tc>
          <w:tcPr>
            <w:tcW w:w="1718" w:type="dxa"/>
            <w:tcBorders>
              <w:top w:val="single" w:color="152935" w:sz="8" w:space="0"/>
              <w:left w:val="nil"/>
              <w:bottom w:val="single" w:color="AEAEAE" w:sz="8" w:space="0"/>
              <w:right w:val="single" w:color="E0E0E0" w:sz="8" w:space="0"/>
            </w:tcBorders>
            <w:shd w:val="clear" w:color="auto" w:fill="F9F9FB"/>
          </w:tcPr>
          <w:p w14:paraId="38FB212D">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91.215</w:t>
            </w:r>
          </w:p>
        </w:tc>
        <w:tc>
          <w:tcPr>
            <w:tcW w:w="1192" w:type="dxa"/>
            <w:tcBorders>
              <w:top w:val="single" w:color="152935" w:sz="8" w:space="0"/>
              <w:left w:val="single" w:color="E0E0E0" w:sz="8" w:space="0"/>
              <w:bottom w:val="single" w:color="AEAEAE" w:sz="8" w:space="0"/>
              <w:right w:val="single" w:color="E0E0E0" w:sz="8" w:space="0"/>
            </w:tcBorders>
            <w:shd w:val="clear" w:color="auto" w:fill="F9F9FB"/>
          </w:tcPr>
          <w:p w14:paraId="703ECDB8">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3</w:t>
            </w:r>
          </w:p>
        </w:tc>
        <w:tc>
          <w:tcPr>
            <w:tcW w:w="1525" w:type="dxa"/>
            <w:tcBorders>
              <w:top w:val="single" w:color="152935" w:sz="8" w:space="0"/>
              <w:left w:val="single" w:color="E0E0E0" w:sz="8" w:space="0"/>
              <w:bottom w:val="single" w:color="AEAEAE" w:sz="8" w:space="0"/>
              <w:right w:val="single" w:color="E0E0E0" w:sz="8" w:space="0"/>
            </w:tcBorders>
            <w:shd w:val="clear" w:color="auto" w:fill="F9F9FB"/>
          </w:tcPr>
          <w:p w14:paraId="3FC5C87B">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30.405</w:t>
            </w:r>
          </w:p>
        </w:tc>
        <w:tc>
          <w:tcPr>
            <w:tcW w:w="1192" w:type="dxa"/>
            <w:tcBorders>
              <w:top w:val="single" w:color="152935" w:sz="8" w:space="0"/>
              <w:left w:val="single" w:color="E0E0E0" w:sz="8" w:space="0"/>
              <w:bottom w:val="single" w:color="AEAEAE" w:sz="8" w:space="0"/>
              <w:right w:val="single" w:color="E0E0E0" w:sz="8" w:space="0"/>
            </w:tcBorders>
            <w:shd w:val="clear" w:color="auto" w:fill="F9F9FB"/>
          </w:tcPr>
          <w:p w14:paraId="2A0964D1">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213.579</w:t>
            </w:r>
          </w:p>
        </w:tc>
        <w:tc>
          <w:tcPr>
            <w:tcW w:w="1345" w:type="dxa"/>
            <w:tcBorders>
              <w:top w:val="single" w:color="152935" w:sz="8" w:space="0"/>
              <w:left w:val="single" w:color="E0E0E0" w:sz="8" w:space="0"/>
              <w:bottom w:val="single" w:color="AEAEAE" w:sz="8" w:space="0"/>
              <w:right w:val="nil"/>
            </w:tcBorders>
            <w:shd w:val="clear" w:color="auto" w:fill="F9F9FB"/>
          </w:tcPr>
          <w:p w14:paraId="4E8E71FB">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&lt;.001</w:t>
            </w:r>
          </w:p>
        </w:tc>
      </w:tr>
      <w:tr w14:paraId="16B8342B">
        <w:tblPrEx>
          <w:tblCellMar>
            <w:top w:w="0" w:type="dxa"/>
            <w:left w:w="0" w:type="dxa"/>
            <w:bottom w:w="0" w:type="dxa"/>
            <w:right w:w="0" w:type="dxa"/>
          </w:tblCellMar>
        </w:tblPrEx>
        <w:trPr>
          <w:cantSplit/>
        </w:trPr>
        <w:tc>
          <w:tcPr>
            <w:tcW w:w="857" w:type="dxa"/>
            <w:vMerge w:val="continue"/>
            <w:tcBorders>
              <w:top w:val="single" w:color="152935" w:sz="8" w:space="0"/>
              <w:left w:val="nil"/>
              <w:bottom w:val="single" w:color="152935" w:sz="8" w:space="0"/>
              <w:right w:val="nil"/>
            </w:tcBorders>
            <w:shd w:val="clear" w:color="auto" w:fill="E0E0E0"/>
          </w:tcPr>
          <w:p w14:paraId="69C1C634">
            <w:pPr>
              <w:autoSpaceDE w:val="0"/>
              <w:autoSpaceDN w:val="0"/>
              <w:adjustRightInd w:val="0"/>
              <w:spacing w:after="0" w:line="240" w:lineRule="auto"/>
              <w:jc w:val="both"/>
              <w:rPr>
                <w:rFonts w:hint="default" w:ascii="Times New Roman" w:hAnsi="Times New Roman" w:cs="Times New Roman"/>
                <w:color w:val="010205"/>
                <w:kern w:val="0"/>
                <w:sz w:val="24"/>
                <w:szCs w:val="24"/>
              </w:rPr>
            </w:pPr>
          </w:p>
        </w:tc>
        <w:tc>
          <w:tcPr>
            <w:tcW w:w="1384" w:type="dxa"/>
            <w:tcBorders>
              <w:top w:val="single" w:color="AEAEAE" w:sz="8" w:space="0"/>
              <w:left w:val="nil"/>
              <w:bottom w:val="single" w:color="AEAEAE" w:sz="8" w:space="0"/>
              <w:right w:val="nil"/>
            </w:tcBorders>
            <w:shd w:val="clear" w:color="auto" w:fill="E0E0E0"/>
          </w:tcPr>
          <w:p w14:paraId="736FBDD0">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Residual</w:t>
            </w:r>
          </w:p>
        </w:tc>
        <w:tc>
          <w:tcPr>
            <w:tcW w:w="1718" w:type="dxa"/>
            <w:tcBorders>
              <w:top w:val="single" w:color="AEAEAE" w:sz="8" w:space="0"/>
              <w:left w:val="nil"/>
              <w:bottom w:val="single" w:color="AEAEAE" w:sz="8" w:space="0"/>
              <w:right w:val="single" w:color="E0E0E0" w:sz="8" w:space="0"/>
            </w:tcBorders>
            <w:shd w:val="clear" w:color="auto" w:fill="F9F9FB"/>
          </w:tcPr>
          <w:p w14:paraId="1EF68609">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20.785</w:t>
            </w:r>
          </w:p>
        </w:tc>
        <w:tc>
          <w:tcPr>
            <w:tcW w:w="1192" w:type="dxa"/>
            <w:tcBorders>
              <w:top w:val="single" w:color="AEAEAE" w:sz="8" w:space="0"/>
              <w:left w:val="single" w:color="E0E0E0" w:sz="8" w:space="0"/>
              <w:bottom w:val="single" w:color="AEAEAE" w:sz="8" w:space="0"/>
              <w:right w:val="single" w:color="E0E0E0" w:sz="8" w:space="0"/>
            </w:tcBorders>
            <w:shd w:val="clear" w:color="auto" w:fill="F9F9FB"/>
          </w:tcPr>
          <w:p w14:paraId="44A43058">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146</w:t>
            </w:r>
          </w:p>
        </w:tc>
        <w:tc>
          <w:tcPr>
            <w:tcW w:w="1525" w:type="dxa"/>
            <w:tcBorders>
              <w:top w:val="single" w:color="AEAEAE" w:sz="8" w:space="0"/>
              <w:left w:val="single" w:color="E0E0E0" w:sz="8" w:space="0"/>
              <w:bottom w:val="single" w:color="AEAEAE" w:sz="8" w:space="0"/>
              <w:right w:val="single" w:color="E0E0E0" w:sz="8" w:space="0"/>
            </w:tcBorders>
            <w:shd w:val="clear" w:color="auto" w:fill="F9F9FB"/>
          </w:tcPr>
          <w:p w14:paraId="0BFC64FD">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.142</w:t>
            </w:r>
          </w:p>
        </w:tc>
        <w:tc>
          <w:tcPr>
            <w:tcW w:w="1192" w:type="dxa"/>
            <w:tcBorders>
              <w:top w:val="single" w:color="AEAEAE" w:sz="8" w:space="0"/>
              <w:left w:val="single" w:color="E0E0E0" w:sz="8" w:space="0"/>
              <w:bottom w:val="single" w:color="AEAEAE" w:sz="8" w:space="0"/>
              <w:right w:val="single" w:color="E0E0E0" w:sz="8" w:space="0"/>
            </w:tcBorders>
            <w:shd w:val="clear" w:color="auto" w:fill="F9F9FB"/>
            <w:vAlign w:val="center"/>
          </w:tcPr>
          <w:p w14:paraId="3B5B3C14">
            <w:pPr>
              <w:autoSpaceDE w:val="0"/>
              <w:autoSpaceDN w:val="0"/>
              <w:adjustRightInd w:val="0"/>
              <w:spacing w:after="0" w:line="240" w:lineRule="auto"/>
              <w:jc w:val="both"/>
              <w:rPr>
                <w:rFonts w:hint="default" w:ascii="Times New Roman" w:hAnsi="Times New Roman" w:cs="Times New Roman"/>
                <w:kern w:val="0"/>
                <w:sz w:val="24"/>
                <w:szCs w:val="24"/>
              </w:rPr>
            </w:pPr>
          </w:p>
        </w:tc>
        <w:tc>
          <w:tcPr>
            <w:tcW w:w="1345" w:type="dxa"/>
            <w:tcBorders>
              <w:top w:val="single" w:color="AEAEAE" w:sz="8" w:space="0"/>
              <w:left w:val="single" w:color="E0E0E0" w:sz="8" w:space="0"/>
              <w:bottom w:val="single" w:color="AEAEAE" w:sz="8" w:space="0"/>
              <w:right w:val="nil"/>
            </w:tcBorders>
            <w:shd w:val="clear" w:color="auto" w:fill="F9F9FB"/>
            <w:vAlign w:val="center"/>
          </w:tcPr>
          <w:p w14:paraId="797E77A7">
            <w:pPr>
              <w:autoSpaceDE w:val="0"/>
              <w:autoSpaceDN w:val="0"/>
              <w:adjustRightInd w:val="0"/>
              <w:spacing w:after="0" w:line="240" w:lineRule="auto"/>
              <w:jc w:val="both"/>
              <w:rPr>
                <w:rFonts w:hint="default" w:ascii="Times New Roman" w:hAnsi="Times New Roman" w:cs="Times New Roman"/>
                <w:kern w:val="0"/>
                <w:sz w:val="24"/>
                <w:szCs w:val="24"/>
              </w:rPr>
            </w:pPr>
          </w:p>
        </w:tc>
      </w:tr>
      <w:tr w14:paraId="473B033A">
        <w:tblPrEx>
          <w:tblCellMar>
            <w:top w:w="0" w:type="dxa"/>
            <w:left w:w="0" w:type="dxa"/>
            <w:bottom w:w="0" w:type="dxa"/>
            <w:right w:w="0" w:type="dxa"/>
          </w:tblCellMar>
        </w:tblPrEx>
        <w:trPr>
          <w:cantSplit/>
        </w:trPr>
        <w:tc>
          <w:tcPr>
            <w:tcW w:w="857" w:type="dxa"/>
            <w:vMerge w:val="continue"/>
            <w:tcBorders>
              <w:top w:val="single" w:color="152935" w:sz="8" w:space="0"/>
              <w:left w:val="nil"/>
              <w:bottom w:val="single" w:color="152935" w:sz="8" w:space="0"/>
              <w:right w:val="nil"/>
            </w:tcBorders>
            <w:shd w:val="clear" w:color="auto" w:fill="E0E0E0"/>
          </w:tcPr>
          <w:p w14:paraId="2C30F3EA">
            <w:pPr>
              <w:autoSpaceDE w:val="0"/>
              <w:autoSpaceDN w:val="0"/>
              <w:adjustRightInd w:val="0"/>
              <w:spacing w:after="0" w:line="240" w:lineRule="auto"/>
              <w:jc w:val="both"/>
              <w:rPr>
                <w:rFonts w:hint="default" w:ascii="Times New Roman" w:hAnsi="Times New Roman" w:cs="Times New Roman"/>
                <w:kern w:val="0"/>
                <w:sz w:val="24"/>
                <w:szCs w:val="24"/>
              </w:rPr>
            </w:pPr>
          </w:p>
        </w:tc>
        <w:tc>
          <w:tcPr>
            <w:tcW w:w="1384" w:type="dxa"/>
            <w:tcBorders>
              <w:top w:val="single" w:color="AEAEAE" w:sz="8" w:space="0"/>
              <w:left w:val="nil"/>
              <w:bottom w:val="single" w:color="152935" w:sz="8" w:space="0"/>
              <w:right w:val="nil"/>
            </w:tcBorders>
            <w:shd w:val="clear" w:color="auto" w:fill="E0E0E0"/>
          </w:tcPr>
          <w:p w14:paraId="015B16B9">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Total</w:t>
            </w:r>
          </w:p>
        </w:tc>
        <w:tc>
          <w:tcPr>
            <w:tcW w:w="1718" w:type="dxa"/>
            <w:tcBorders>
              <w:top w:val="single" w:color="AEAEAE" w:sz="8" w:space="0"/>
              <w:left w:val="nil"/>
              <w:bottom w:val="single" w:color="152935" w:sz="8" w:space="0"/>
              <w:right w:val="single" w:color="E0E0E0" w:sz="8" w:space="0"/>
            </w:tcBorders>
            <w:shd w:val="clear" w:color="auto" w:fill="F9F9FB"/>
          </w:tcPr>
          <w:p w14:paraId="71B98AE5">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112.000</w:t>
            </w:r>
          </w:p>
        </w:tc>
        <w:tc>
          <w:tcPr>
            <w:tcW w:w="1192" w:type="dxa"/>
            <w:tcBorders>
              <w:top w:val="single" w:color="AEAEAE" w:sz="8" w:space="0"/>
              <w:left w:val="single" w:color="E0E0E0" w:sz="8" w:space="0"/>
              <w:bottom w:val="single" w:color="152935" w:sz="8" w:space="0"/>
              <w:right w:val="single" w:color="E0E0E0" w:sz="8" w:space="0"/>
            </w:tcBorders>
            <w:shd w:val="clear" w:color="auto" w:fill="F9F9FB"/>
          </w:tcPr>
          <w:p w14:paraId="1CBE8B2A">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149</w:t>
            </w:r>
          </w:p>
        </w:tc>
        <w:tc>
          <w:tcPr>
            <w:tcW w:w="1525" w:type="dxa"/>
            <w:tcBorders>
              <w:top w:val="single" w:color="AEAEAE" w:sz="8" w:space="0"/>
              <w:left w:val="single" w:color="E0E0E0" w:sz="8" w:space="0"/>
              <w:bottom w:val="single" w:color="152935" w:sz="8" w:space="0"/>
              <w:right w:val="single" w:color="E0E0E0" w:sz="8" w:space="0"/>
            </w:tcBorders>
            <w:shd w:val="clear" w:color="auto" w:fill="F9F9FB"/>
            <w:vAlign w:val="center"/>
          </w:tcPr>
          <w:p w14:paraId="0AC9C6C3">
            <w:pPr>
              <w:autoSpaceDE w:val="0"/>
              <w:autoSpaceDN w:val="0"/>
              <w:adjustRightInd w:val="0"/>
              <w:spacing w:after="0" w:line="240" w:lineRule="auto"/>
              <w:jc w:val="both"/>
              <w:rPr>
                <w:rFonts w:hint="default" w:ascii="Times New Roman" w:hAnsi="Times New Roman" w:cs="Times New Roman"/>
                <w:kern w:val="0"/>
                <w:sz w:val="24"/>
                <w:szCs w:val="24"/>
              </w:rPr>
            </w:pPr>
          </w:p>
        </w:tc>
        <w:tc>
          <w:tcPr>
            <w:tcW w:w="1192" w:type="dxa"/>
            <w:tcBorders>
              <w:top w:val="single" w:color="AEAEAE" w:sz="8" w:space="0"/>
              <w:left w:val="single" w:color="E0E0E0" w:sz="8" w:space="0"/>
              <w:bottom w:val="single" w:color="152935" w:sz="8" w:space="0"/>
              <w:right w:val="single" w:color="E0E0E0" w:sz="8" w:space="0"/>
            </w:tcBorders>
            <w:shd w:val="clear" w:color="auto" w:fill="F9F9FB"/>
            <w:vAlign w:val="center"/>
          </w:tcPr>
          <w:p w14:paraId="28614C8B">
            <w:pPr>
              <w:autoSpaceDE w:val="0"/>
              <w:autoSpaceDN w:val="0"/>
              <w:adjustRightInd w:val="0"/>
              <w:spacing w:after="0" w:line="240" w:lineRule="auto"/>
              <w:jc w:val="both"/>
              <w:rPr>
                <w:rFonts w:hint="default" w:ascii="Times New Roman" w:hAnsi="Times New Roman" w:cs="Times New Roman"/>
                <w:kern w:val="0"/>
                <w:sz w:val="24"/>
                <w:szCs w:val="24"/>
              </w:rPr>
            </w:pPr>
          </w:p>
        </w:tc>
        <w:tc>
          <w:tcPr>
            <w:tcW w:w="1345" w:type="dxa"/>
            <w:tcBorders>
              <w:top w:val="single" w:color="AEAEAE" w:sz="8" w:space="0"/>
              <w:left w:val="single" w:color="E0E0E0" w:sz="8" w:space="0"/>
              <w:bottom w:val="single" w:color="152935" w:sz="8" w:space="0"/>
              <w:right w:val="nil"/>
            </w:tcBorders>
            <w:shd w:val="clear" w:color="auto" w:fill="F9F9FB"/>
            <w:vAlign w:val="center"/>
          </w:tcPr>
          <w:p w14:paraId="1C1B3513">
            <w:pPr>
              <w:autoSpaceDE w:val="0"/>
              <w:autoSpaceDN w:val="0"/>
              <w:adjustRightInd w:val="0"/>
              <w:spacing w:after="0" w:line="240" w:lineRule="auto"/>
              <w:jc w:val="both"/>
              <w:rPr>
                <w:rFonts w:hint="default" w:ascii="Times New Roman" w:hAnsi="Times New Roman" w:cs="Times New Roman"/>
                <w:kern w:val="0"/>
                <w:sz w:val="24"/>
                <w:szCs w:val="24"/>
              </w:rPr>
            </w:pPr>
          </w:p>
        </w:tc>
      </w:tr>
      <w:tr w14:paraId="771F4187">
        <w:tblPrEx>
          <w:tblCellMar>
            <w:top w:w="0" w:type="dxa"/>
            <w:left w:w="0" w:type="dxa"/>
            <w:bottom w:w="0" w:type="dxa"/>
            <w:right w:w="0" w:type="dxa"/>
          </w:tblCellMar>
        </w:tblPrEx>
        <w:trPr>
          <w:cantSplit/>
        </w:trPr>
        <w:tc>
          <w:tcPr>
            <w:tcW w:w="9213" w:type="dxa"/>
            <w:gridSpan w:val="7"/>
            <w:tcBorders>
              <w:top w:val="nil"/>
              <w:left w:val="nil"/>
              <w:bottom w:val="nil"/>
              <w:right w:val="nil"/>
            </w:tcBorders>
            <w:shd w:val="clear" w:color="auto" w:fill="FFFFFF"/>
          </w:tcPr>
          <w:p w14:paraId="1BBADE02">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a. Dependent Variable: Institutional Preparedness (IP)</w:t>
            </w:r>
          </w:p>
        </w:tc>
      </w:tr>
      <w:tr w14:paraId="4A017F66">
        <w:tblPrEx>
          <w:tblCellMar>
            <w:top w:w="0" w:type="dxa"/>
            <w:left w:w="0" w:type="dxa"/>
            <w:bottom w:w="0" w:type="dxa"/>
            <w:right w:w="0" w:type="dxa"/>
          </w:tblCellMar>
        </w:tblPrEx>
        <w:trPr>
          <w:cantSplit/>
        </w:trPr>
        <w:tc>
          <w:tcPr>
            <w:tcW w:w="9213" w:type="dxa"/>
            <w:gridSpan w:val="7"/>
            <w:tcBorders>
              <w:top w:val="nil"/>
              <w:left w:val="nil"/>
              <w:bottom w:val="nil"/>
              <w:right w:val="nil"/>
            </w:tcBorders>
            <w:shd w:val="clear" w:color="auto" w:fill="FFFFFF"/>
          </w:tcPr>
          <w:p w14:paraId="7D775D30">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b. Predictors: (Constant), Institutional Outcomes (IO), Administrative Practices (AP), Implementation Challenges (IC)</w:t>
            </w:r>
          </w:p>
        </w:tc>
      </w:tr>
    </w:tbl>
    <w:p w14:paraId="1F2F45D0">
      <w:pPr>
        <w:spacing w:before="100" w:beforeAutospacing="1" w:after="100" w:afterAutospacing="1" w:line="240" w:lineRule="auto"/>
        <w:jc w:val="both"/>
        <w:rPr>
          <w:rFonts w:hint="default" w:ascii="Times New Roman" w:hAnsi="Times New Roman" w:eastAsia="Times New Roman" w:cs="Times New Roman"/>
          <w:kern w:val="0"/>
          <w:sz w:val="24"/>
          <w:szCs w:val="24"/>
        </w:rPr>
      </w:pPr>
    </w:p>
    <w:tbl>
      <w:tblPr>
        <w:tblStyle w:val="6"/>
        <w:tblW w:w="9711" w:type="dxa"/>
        <w:tblInd w:w="0" w:type="dxa"/>
        <w:tblLayout w:type="fixed"/>
        <w:tblCellMar>
          <w:top w:w="0" w:type="dxa"/>
          <w:left w:w="0" w:type="dxa"/>
          <w:bottom w:w="0" w:type="dxa"/>
          <w:right w:w="0" w:type="dxa"/>
        </w:tblCellMar>
      </w:tblPr>
      <w:tblGrid>
        <w:gridCol w:w="808"/>
        <w:gridCol w:w="2702"/>
        <w:gridCol w:w="885"/>
        <w:gridCol w:w="708"/>
        <w:gridCol w:w="1276"/>
        <w:gridCol w:w="709"/>
        <w:gridCol w:w="709"/>
        <w:gridCol w:w="1134"/>
        <w:gridCol w:w="780"/>
      </w:tblGrid>
      <w:tr w14:paraId="4E8F8DDF">
        <w:tblPrEx>
          <w:tblCellMar>
            <w:top w:w="0" w:type="dxa"/>
            <w:left w:w="0" w:type="dxa"/>
            <w:bottom w:w="0" w:type="dxa"/>
            <w:right w:w="0" w:type="dxa"/>
          </w:tblCellMar>
        </w:tblPrEx>
        <w:trPr>
          <w:cantSplit/>
        </w:trPr>
        <w:tc>
          <w:tcPr>
            <w:tcW w:w="9711" w:type="dxa"/>
            <w:gridSpan w:val="9"/>
            <w:tcBorders>
              <w:top w:val="nil"/>
              <w:left w:val="nil"/>
              <w:bottom w:val="nil"/>
              <w:right w:val="nil"/>
            </w:tcBorders>
            <w:shd w:val="clear" w:color="auto" w:fill="FFFFFF"/>
            <w:vAlign w:val="center"/>
          </w:tcPr>
          <w:p w14:paraId="0A02812D">
            <w:pPr>
              <w:autoSpaceDE w:val="0"/>
              <w:autoSpaceDN w:val="0"/>
              <w:adjustRightInd w:val="0"/>
              <w:spacing w:after="0" w:line="320" w:lineRule="atLeast"/>
              <w:ind w:left="60" w:right="60"/>
              <w:jc w:val="center"/>
              <w:rPr>
                <w:rFonts w:hint="default" w:ascii="Times New Roman" w:hAnsi="Times New Roman" w:cs="Times New Roman"/>
                <w:color w:val="010205"/>
                <w:kern w:val="0"/>
                <w:sz w:val="24"/>
                <w:szCs w:val="24"/>
              </w:rPr>
            </w:pPr>
            <w:r>
              <w:rPr>
                <w:rFonts w:hint="default" w:ascii="Sans Serif Collection" w:hAnsi="Sans Serif Collection" w:cs="Sans Serif Collection"/>
                <w:b/>
                <w:bCs/>
                <w:color w:val="010205"/>
                <w:kern w:val="0"/>
                <w:sz w:val="24"/>
                <w:szCs w:val="24"/>
              </w:rPr>
              <w:t xml:space="preserve">Table </w:t>
            </w:r>
            <w:r>
              <w:rPr>
                <w:rFonts w:hint="default" w:ascii="Sans Serif Collection" w:hAnsi="Sans Serif Collection" w:cs="Sans Serif Collection"/>
                <w:b/>
                <w:bCs/>
                <w:color w:val="010205"/>
                <w:kern w:val="0"/>
                <w:sz w:val="24"/>
                <w:szCs w:val="24"/>
                <w:lang w:val="en-US"/>
              </w:rPr>
              <w:t>5</w:t>
            </w:r>
            <w:r>
              <w:rPr>
                <w:rFonts w:hint="default" w:ascii="Sans Serif Collection" w:hAnsi="Sans Serif Collection" w:cs="Sans Serif Collection"/>
                <w:b/>
                <w:bCs/>
                <w:color w:val="010205"/>
                <w:kern w:val="0"/>
                <w:sz w:val="24"/>
                <w:szCs w:val="24"/>
              </w:rPr>
              <w:t xml:space="preserve"> - Coefficients</w:t>
            </w:r>
          </w:p>
        </w:tc>
      </w:tr>
      <w:tr w14:paraId="713945EB">
        <w:tblPrEx>
          <w:tblCellMar>
            <w:top w:w="0" w:type="dxa"/>
            <w:left w:w="0" w:type="dxa"/>
            <w:bottom w:w="0" w:type="dxa"/>
            <w:right w:w="0" w:type="dxa"/>
          </w:tblCellMar>
        </w:tblPrEx>
        <w:trPr>
          <w:cantSplit/>
        </w:trPr>
        <w:tc>
          <w:tcPr>
            <w:tcW w:w="3510" w:type="dxa"/>
            <w:gridSpan w:val="2"/>
            <w:vMerge w:val="restart"/>
            <w:tcBorders>
              <w:top w:val="nil"/>
              <w:left w:val="nil"/>
              <w:bottom w:val="nil"/>
              <w:right w:val="nil"/>
            </w:tcBorders>
            <w:shd w:val="clear" w:color="auto" w:fill="FFFFFF"/>
            <w:vAlign w:val="bottom"/>
          </w:tcPr>
          <w:p w14:paraId="54B20B3A">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Model</w:t>
            </w:r>
          </w:p>
        </w:tc>
        <w:tc>
          <w:tcPr>
            <w:tcW w:w="1593" w:type="dxa"/>
            <w:gridSpan w:val="2"/>
            <w:tcBorders>
              <w:top w:val="nil"/>
              <w:left w:val="nil"/>
              <w:bottom w:val="nil"/>
              <w:right w:val="single" w:color="E0E0E0" w:sz="8" w:space="0"/>
            </w:tcBorders>
            <w:shd w:val="clear" w:color="auto" w:fill="FFFFFF"/>
            <w:vAlign w:val="bottom"/>
          </w:tcPr>
          <w:p w14:paraId="55EF54A4">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Unstandardized Coefficients</w:t>
            </w:r>
          </w:p>
        </w:tc>
        <w:tc>
          <w:tcPr>
            <w:tcW w:w="1276" w:type="dxa"/>
            <w:tcBorders>
              <w:top w:val="nil"/>
              <w:left w:val="single" w:color="E0E0E0" w:sz="8" w:space="0"/>
              <w:bottom w:val="nil"/>
              <w:right w:val="single" w:color="E0E0E0" w:sz="8" w:space="0"/>
            </w:tcBorders>
            <w:shd w:val="clear" w:color="auto" w:fill="FFFFFF"/>
            <w:vAlign w:val="bottom"/>
          </w:tcPr>
          <w:p w14:paraId="5C56F99F">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Standardized Coefficients</w:t>
            </w:r>
          </w:p>
        </w:tc>
        <w:tc>
          <w:tcPr>
            <w:tcW w:w="709" w:type="dxa"/>
            <w:vMerge w:val="restart"/>
            <w:tcBorders>
              <w:top w:val="nil"/>
              <w:left w:val="single" w:color="E0E0E0" w:sz="8" w:space="0"/>
              <w:bottom w:val="nil"/>
              <w:right w:val="single" w:color="E0E0E0" w:sz="8" w:space="0"/>
            </w:tcBorders>
            <w:shd w:val="clear" w:color="auto" w:fill="FFFFFF"/>
            <w:vAlign w:val="bottom"/>
          </w:tcPr>
          <w:p w14:paraId="44777E41">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t</w:t>
            </w:r>
          </w:p>
        </w:tc>
        <w:tc>
          <w:tcPr>
            <w:tcW w:w="709" w:type="dxa"/>
            <w:vMerge w:val="restart"/>
            <w:tcBorders>
              <w:top w:val="nil"/>
              <w:left w:val="single" w:color="E0E0E0" w:sz="8" w:space="0"/>
              <w:bottom w:val="nil"/>
              <w:right w:val="single" w:color="E0E0E0" w:sz="8" w:space="0"/>
            </w:tcBorders>
            <w:shd w:val="clear" w:color="auto" w:fill="FFFFFF"/>
            <w:vAlign w:val="bottom"/>
          </w:tcPr>
          <w:p w14:paraId="371D6B71">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Sig.</w:t>
            </w:r>
          </w:p>
        </w:tc>
        <w:tc>
          <w:tcPr>
            <w:tcW w:w="1914" w:type="dxa"/>
            <w:gridSpan w:val="2"/>
            <w:tcBorders>
              <w:top w:val="nil"/>
              <w:left w:val="single" w:color="E0E0E0" w:sz="8" w:space="0"/>
              <w:bottom w:val="nil"/>
              <w:right w:val="nil"/>
            </w:tcBorders>
            <w:shd w:val="clear" w:color="auto" w:fill="FFFFFF"/>
            <w:vAlign w:val="bottom"/>
          </w:tcPr>
          <w:p w14:paraId="2A0A9E8B">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95.0% Confidence Interval</w:t>
            </w:r>
          </w:p>
        </w:tc>
      </w:tr>
      <w:tr w14:paraId="15B73FF2">
        <w:tblPrEx>
          <w:tblCellMar>
            <w:top w:w="0" w:type="dxa"/>
            <w:left w:w="0" w:type="dxa"/>
            <w:bottom w:w="0" w:type="dxa"/>
            <w:right w:w="0" w:type="dxa"/>
          </w:tblCellMar>
        </w:tblPrEx>
        <w:trPr>
          <w:cantSplit/>
          <w:trHeight w:val="1258" w:hRule="atLeast"/>
        </w:trPr>
        <w:tc>
          <w:tcPr>
            <w:tcW w:w="3510" w:type="dxa"/>
            <w:gridSpan w:val="2"/>
            <w:vMerge w:val="continue"/>
            <w:tcBorders>
              <w:top w:val="nil"/>
              <w:left w:val="nil"/>
              <w:bottom w:val="nil"/>
              <w:right w:val="nil"/>
            </w:tcBorders>
            <w:shd w:val="clear" w:color="auto" w:fill="FFFFFF"/>
            <w:vAlign w:val="bottom"/>
          </w:tcPr>
          <w:p w14:paraId="54502DD1">
            <w:pPr>
              <w:autoSpaceDE w:val="0"/>
              <w:autoSpaceDN w:val="0"/>
              <w:adjustRightInd w:val="0"/>
              <w:spacing w:after="0" w:line="240" w:lineRule="auto"/>
              <w:jc w:val="both"/>
              <w:rPr>
                <w:rFonts w:hint="default" w:ascii="Times New Roman" w:hAnsi="Times New Roman" w:cs="Times New Roman"/>
                <w:color w:val="264A60"/>
                <w:kern w:val="0"/>
                <w:sz w:val="24"/>
                <w:szCs w:val="24"/>
              </w:rPr>
            </w:pPr>
          </w:p>
        </w:tc>
        <w:tc>
          <w:tcPr>
            <w:tcW w:w="885" w:type="dxa"/>
            <w:tcBorders>
              <w:top w:val="nil"/>
              <w:left w:val="nil"/>
              <w:bottom w:val="single" w:color="152935" w:sz="8" w:space="0"/>
              <w:right w:val="single" w:color="E0E0E0" w:sz="8" w:space="0"/>
            </w:tcBorders>
            <w:shd w:val="clear" w:color="auto" w:fill="FFFFFF"/>
            <w:vAlign w:val="bottom"/>
          </w:tcPr>
          <w:p w14:paraId="6B28508A">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B</w:t>
            </w:r>
          </w:p>
        </w:tc>
        <w:tc>
          <w:tcPr>
            <w:tcW w:w="708" w:type="dxa"/>
            <w:tcBorders>
              <w:top w:val="nil"/>
              <w:left w:val="single" w:color="E0E0E0" w:sz="8" w:space="0"/>
              <w:bottom w:val="single" w:color="152935" w:sz="8" w:space="0"/>
              <w:right w:val="single" w:color="E0E0E0" w:sz="8" w:space="0"/>
            </w:tcBorders>
            <w:shd w:val="clear" w:color="auto" w:fill="FFFFFF"/>
            <w:vAlign w:val="bottom"/>
          </w:tcPr>
          <w:p w14:paraId="59B0CD73">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Std. Error</w:t>
            </w:r>
          </w:p>
        </w:tc>
        <w:tc>
          <w:tcPr>
            <w:tcW w:w="1276" w:type="dxa"/>
            <w:tcBorders>
              <w:top w:val="nil"/>
              <w:left w:val="single" w:color="E0E0E0" w:sz="8" w:space="0"/>
              <w:bottom w:val="single" w:color="152935" w:sz="8" w:space="0"/>
              <w:right w:val="single" w:color="E0E0E0" w:sz="8" w:space="0"/>
            </w:tcBorders>
            <w:shd w:val="clear" w:color="auto" w:fill="FFFFFF"/>
            <w:vAlign w:val="bottom"/>
          </w:tcPr>
          <w:p w14:paraId="55D45714">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Beta</w:t>
            </w:r>
          </w:p>
        </w:tc>
        <w:tc>
          <w:tcPr>
            <w:tcW w:w="709" w:type="dxa"/>
            <w:vMerge w:val="continue"/>
            <w:tcBorders>
              <w:top w:val="nil"/>
              <w:left w:val="single" w:color="E0E0E0" w:sz="8" w:space="0"/>
              <w:bottom w:val="nil"/>
              <w:right w:val="single" w:color="E0E0E0" w:sz="8" w:space="0"/>
            </w:tcBorders>
            <w:shd w:val="clear" w:color="auto" w:fill="FFFFFF"/>
            <w:vAlign w:val="bottom"/>
          </w:tcPr>
          <w:p w14:paraId="1C5E08C8">
            <w:pPr>
              <w:autoSpaceDE w:val="0"/>
              <w:autoSpaceDN w:val="0"/>
              <w:adjustRightInd w:val="0"/>
              <w:spacing w:after="0" w:line="240" w:lineRule="auto"/>
              <w:jc w:val="both"/>
              <w:rPr>
                <w:rFonts w:hint="default" w:ascii="Times New Roman" w:hAnsi="Times New Roman" w:cs="Times New Roman"/>
                <w:color w:val="264A60"/>
                <w:kern w:val="0"/>
                <w:sz w:val="24"/>
                <w:szCs w:val="24"/>
              </w:rPr>
            </w:pPr>
          </w:p>
        </w:tc>
        <w:tc>
          <w:tcPr>
            <w:tcW w:w="709" w:type="dxa"/>
            <w:vMerge w:val="continue"/>
            <w:tcBorders>
              <w:top w:val="nil"/>
              <w:left w:val="single" w:color="E0E0E0" w:sz="8" w:space="0"/>
              <w:bottom w:val="nil"/>
              <w:right w:val="single" w:color="E0E0E0" w:sz="8" w:space="0"/>
            </w:tcBorders>
            <w:shd w:val="clear" w:color="auto" w:fill="FFFFFF"/>
            <w:vAlign w:val="bottom"/>
          </w:tcPr>
          <w:p w14:paraId="677E78DE">
            <w:pPr>
              <w:autoSpaceDE w:val="0"/>
              <w:autoSpaceDN w:val="0"/>
              <w:adjustRightInd w:val="0"/>
              <w:spacing w:after="0" w:line="240" w:lineRule="auto"/>
              <w:jc w:val="both"/>
              <w:rPr>
                <w:rFonts w:hint="default" w:ascii="Times New Roman" w:hAnsi="Times New Roman" w:cs="Times New Roman"/>
                <w:color w:val="264A60"/>
                <w:kern w:val="0"/>
                <w:sz w:val="24"/>
                <w:szCs w:val="24"/>
              </w:rPr>
            </w:pPr>
          </w:p>
        </w:tc>
        <w:tc>
          <w:tcPr>
            <w:tcW w:w="1134" w:type="dxa"/>
            <w:tcBorders>
              <w:top w:val="nil"/>
              <w:left w:val="single" w:color="E0E0E0" w:sz="8" w:space="0"/>
              <w:bottom w:val="single" w:color="152935" w:sz="8" w:space="0"/>
              <w:right w:val="single" w:color="E0E0E0" w:sz="8" w:space="0"/>
            </w:tcBorders>
            <w:shd w:val="clear" w:color="auto" w:fill="FFFFFF"/>
            <w:vAlign w:val="bottom"/>
          </w:tcPr>
          <w:p w14:paraId="0E2D7600">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Lower Bound</w:t>
            </w:r>
          </w:p>
        </w:tc>
        <w:tc>
          <w:tcPr>
            <w:tcW w:w="780" w:type="dxa"/>
            <w:tcBorders>
              <w:top w:val="nil"/>
              <w:left w:val="single" w:color="E0E0E0" w:sz="8" w:space="0"/>
              <w:bottom w:val="single" w:color="152935" w:sz="8" w:space="0"/>
              <w:right w:val="nil"/>
            </w:tcBorders>
            <w:shd w:val="clear" w:color="auto" w:fill="FFFFFF"/>
            <w:vAlign w:val="bottom"/>
          </w:tcPr>
          <w:p w14:paraId="6580B159">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Upper Bound</w:t>
            </w:r>
          </w:p>
        </w:tc>
      </w:tr>
      <w:tr w14:paraId="43F8C4E3">
        <w:tblPrEx>
          <w:tblCellMar>
            <w:top w:w="0" w:type="dxa"/>
            <w:left w:w="0" w:type="dxa"/>
            <w:bottom w:w="0" w:type="dxa"/>
            <w:right w:w="0" w:type="dxa"/>
          </w:tblCellMar>
        </w:tblPrEx>
        <w:trPr>
          <w:cantSplit/>
        </w:trPr>
        <w:tc>
          <w:tcPr>
            <w:tcW w:w="808" w:type="dxa"/>
            <w:vMerge w:val="restart"/>
            <w:tcBorders>
              <w:top w:val="single" w:color="152935" w:sz="8" w:space="0"/>
              <w:left w:val="nil"/>
              <w:bottom w:val="single" w:color="152935" w:sz="8" w:space="0"/>
              <w:right w:val="nil"/>
            </w:tcBorders>
            <w:shd w:val="clear" w:color="auto" w:fill="E0E0E0"/>
          </w:tcPr>
          <w:p w14:paraId="652CCB90">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1</w:t>
            </w:r>
          </w:p>
        </w:tc>
        <w:tc>
          <w:tcPr>
            <w:tcW w:w="2702" w:type="dxa"/>
            <w:tcBorders>
              <w:top w:val="single" w:color="152935" w:sz="8" w:space="0"/>
              <w:left w:val="nil"/>
              <w:bottom w:val="single" w:color="AEAEAE" w:sz="8" w:space="0"/>
              <w:right w:val="nil"/>
            </w:tcBorders>
            <w:shd w:val="clear" w:color="auto" w:fill="E0E0E0"/>
          </w:tcPr>
          <w:p w14:paraId="7CC588BA">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(Constant)</w:t>
            </w:r>
          </w:p>
        </w:tc>
        <w:tc>
          <w:tcPr>
            <w:tcW w:w="885" w:type="dxa"/>
            <w:tcBorders>
              <w:top w:val="single" w:color="152935" w:sz="8" w:space="0"/>
              <w:left w:val="nil"/>
              <w:bottom w:val="single" w:color="AEAEAE" w:sz="8" w:space="0"/>
              <w:right w:val="single" w:color="E0E0E0" w:sz="8" w:space="0"/>
            </w:tcBorders>
            <w:shd w:val="clear" w:color="auto" w:fill="F9F9FB"/>
          </w:tcPr>
          <w:p w14:paraId="09EB4532">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.077</w:t>
            </w:r>
          </w:p>
        </w:tc>
        <w:tc>
          <w:tcPr>
            <w:tcW w:w="708" w:type="dxa"/>
            <w:tcBorders>
              <w:top w:val="single" w:color="152935" w:sz="8" w:space="0"/>
              <w:left w:val="single" w:color="E0E0E0" w:sz="8" w:space="0"/>
              <w:bottom w:val="single" w:color="AEAEAE" w:sz="8" w:space="0"/>
              <w:right w:val="single" w:color="E0E0E0" w:sz="8" w:space="0"/>
            </w:tcBorders>
            <w:shd w:val="clear" w:color="auto" w:fill="F9F9FB"/>
          </w:tcPr>
          <w:p w14:paraId="0A86E281">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.209</w:t>
            </w:r>
          </w:p>
        </w:tc>
        <w:tc>
          <w:tcPr>
            <w:tcW w:w="1276" w:type="dxa"/>
            <w:tcBorders>
              <w:top w:val="single" w:color="152935" w:sz="8" w:space="0"/>
              <w:left w:val="single" w:color="E0E0E0" w:sz="8" w:space="0"/>
              <w:bottom w:val="single" w:color="AEAEAE" w:sz="8" w:space="0"/>
              <w:right w:val="single" w:color="E0E0E0" w:sz="8" w:space="0"/>
            </w:tcBorders>
            <w:shd w:val="clear" w:color="auto" w:fill="F9F9FB"/>
            <w:vAlign w:val="center"/>
          </w:tcPr>
          <w:p w14:paraId="7B17C1F1">
            <w:pPr>
              <w:autoSpaceDE w:val="0"/>
              <w:autoSpaceDN w:val="0"/>
              <w:adjustRightInd w:val="0"/>
              <w:spacing w:after="0" w:line="240" w:lineRule="auto"/>
              <w:jc w:val="both"/>
              <w:rPr>
                <w:rFonts w:hint="default" w:ascii="Times New Roman" w:hAnsi="Times New Roman" w:cs="Times New Roman"/>
                <w:kern w:val="0"/>
                <w:sz w:val="24"/>
                <w:szCs w:val="24"/>
              </w:rPr>
            </w:pPr>
          </w:p>
        </w:tc>
        <w:tc>
          <w:tcPr>
            <w:tcW w:w="709" w:type="dxa"/>
            <w:tcBorders>
              <w:top w:val="single" w:color="152935" w:sz="8" w:space="0"/>
              <w:left w:val="single" w:color="E0E0E0" w:sz="8" w:space="0"/>
              <w:bottom w:val="single" w:color="AEAEAE" w:sz="8" w:space="0"/>
              <w:right w:val="single" w:color="E0E0E0" w:sz="8" w:space="0"/>
            </w:tcBorders>
            <w:shd w:val="clear" w:color="auto" w:fill="F9F9FB"/>
          </w:tcPr>
          <w:p w14:paraId="4E7A563D">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.369</w:t>
            </w:r>
          </w:p>
        </w:tc>
        <w:tc>
          <w:tcPr>
            <w:tcW w:w="709" w:type="dxa"/>
            <w:tcBorders>
              <w:top w:val="single" w:color="152935" w:sz="8" w:space="0"/>
              <w:left w:val="single" w:color="E0E0E0" w:sz="8" w:space="0"/>
              <w:bottom w:val="single" w:color="AEAEAE" w:sz="8" w:space="0"/>
              <w:right w:val="single" w:color="E0E0E0" w:sz="8" w:space="0"/>
            </w:tcBorders>
            <w:shd w:val="clear" w:color="auto" w:fill="F9F9FB"/>
          </w:tcPr>
          <w:p w14:paraId="100C7AEB">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.713</w:t>
            </w:r>
          </w:p>
        </w:tc>
        <w:tc>
          <w:tcPr>
            <w:tcW w:w="1134" w:type="dxa"/>
            <w:tcBorders>
              <w:top w:val="single" w:color="152935" w:sz="8" w:space="0"/>
              <w:left w:val="single" w:color="E0E0E0" w:sz="8" w:space="0"/>
              <w:bottom w:val="single" w:color="AEAEAE" w:sz="8" w:space="0"/>
              <w:right w:val="single" w:color="E0E0E0" w:sz="8" w:space="0"/>
            </w:tcBorders>
            <w:shd w:val="clear" w:color="auto" w:fill="F9F9FB"/>
          </w:tcPr>
          <w:p w14:paraId="3C984F51">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-.335</w:t>
            </w:r>
          </w:p>
        </w:tc>
        <w:tc>
          <w:tcPr>
            <w:tcW w:w="780" w:type="dxa"/>
            <w:tcBorders>
              <w:top w:val="single" w:color="152935" w:sz="8" w:space="0"/>
              <w:left w:val="single" w:color="E0E0E0" w:sz="8" w:space="0"/>
              <w:bottom w:val="single" w:color="AEAEAE" w:sz="8" w:space="0"/>
              <w:right w:val="nil"/>
            </w:tcBorders>
            <w:shd w:val="clear" w:color="auto" w:fill="F9F9FB"/>
          </w:tcPr>
          <w:p w14:paraId="356F64DF">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 xml:space="preserve"> .489</w:t>
            </w:r>
          </w:p>
        </w:tc>
      </w:tr>
      <w:tr w14:paraId="000B6BD2">
        <w:tblPrEx>
          <w:tblCellMar>
            <w:top w:w="0" w:type="dxa"/>
            <w:left w:w="0" w:type="dxa"/>
            <w:bottom w:w="0" w:type="dxa"/>
            <w:right w:w="0" w:type="dxa"/>
          </w:tblCellMar>
        </w:tblPrEx>
        <w:trPr>
          <w:cantSplit/>
        </w:trPr>
        <w:tc>
          <w:tcPr>
            <w:tcW w:w="808" w:type="dxa"/>
            <w:vMerge w:val="continue"/>
            <w:tcBorders>
              <w:top w:val="single" w:color="152935" w:sz="8" w:space="0"/>
              <w:left w:val="nil"/>
              <w:bottom w:val="single" w:color="152935" w:sz="8" w:space="0"/>
              <w:right w:val="nil"/>
            </w:tcBorders>
            <w:shd w:val="clear" w:color="auto" w:fill="E0E0E0"/>
          </w:tcPr>
          <w:p w14:paraId="4D7358F0">
            <w:pPr>
              <w:autoSpaceDE w:val="0"/>
              <w:autoSpaceDN w:val="0"/>
              <w:adjustRightInd w:val="0"/>
              <w:spacing w:after="0" w:line="240" w:lineRule="auto"/>
              <w:jc w:val="both"/>
              <w:rPr>
                <w:rFonts w:hint="default" w:ascii="Times New Roman" w:hAnsi="Times New Roman" w:cs="Times New Roman"/>
                <w:color w:val="010205"/>
                <w:kern w:val="0"/>
                <w:sz w:val="24"/>
                <w:szCs w:val="24"/>
              </w:rPr>
            </w:pPr>
          </w:p>
        </w:tc>
        <w:tc>
          <w:tcPr>
            <w:tcW w:w="2702" w:type="dxa"/>
            <w:tcBorders>
              <w:top w:val="single" w:color="AEAEAE" w:sz="8" w:space="0"/>
              <w:left w:val="nil"/>
              <w:bottom w:val="single" w:color="AEAEAE" w:sz="8" w:space="0"/>
              <w:right w:val="nil"/>
            </w:tcBorders>
            <w:shd w:val="clear" w:color="auto" w:fill="E0E0E0"/>
          </w:tcPr>
          <w:p w14:paraId="1DF93A01">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Implementation Challenges (IC)</w:t>
            </w:r>
          </w:p>
        </w:tc>
        <w:tc>
          <w:tcPr>
            <w:tcW w:w="885" w:type="dxa"/>
            <w:tcBorders>
              <w:top w:val="single" w:color="AEAEAE" w:sz="8" w:space="0"/>
              <w:left w:val="nil"/>
              <w:bottom w:val="single" w:color="AEAEAE" w:sz="8" w:space="0"/>
              <w:right w:val="single" w:color="E0E0E0" w:sz="8" w:space="0"/>
            </w:tcBorders>
            <w:shd w:val="clear" w:color="auto" w:fill="F9F9FB"/>
          </w:tcPr>
          <w:p w14:paraId="30350127">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.300</w:t>
            </w:r>
          </w:p>
        </w:tc>
        <w:tc>
          <w:tcPr>
            <w:tcW w:w="708" w:type="dxa"/>
            <w:tcBorders>
              <w:top w:val="single" w:color="AEAEAE" w:sz="8" w:space="0"/>
              <w:left w:val="single" w:color="E0E0E0" w:sz="8" w:space="0"/>
              <w:bottom w:val="single" w:color="AEAEAE" w:sz="8" w:space="0"/>
              <w:right w:val="single" w:color="E0E0E0" w:sz="8" w:space="0"/>
            </w:tcBorders>
            <w:shd w:val="clear" w:color="auto" w:fill="F9F9FB"/>
          </w:tcPr>
          <w:p w14:paraId="32AA7076">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.069</w:t>
            </w:r>
          </w:p>
        </w:tc>
        <w:tc>
          <w:tcPr>
            <w:tcW w:w="1276" w:type="dxa"/>
            <w:tcBorders>
              <w:top w:val="single" w:color="AEAEAE" w:sz="8" w:space="0"/>
              <w:left w:val="single" w:color="E0E0E0" w:sz="8" w:space="0"/>
              <w:bottom w:val="single" w:color="AEAEAE" w:sz="8" w:space="0"/>
              <w:right w:val="single" w:color="E0E0E0" w:sz="8" w:space="0"/>
            </w:tcBorders>
            <w:shd w:val="clear" w:color="auto" w:fill="F9F9FB"/>
          </w:tcPr>
          <w:p w14:paraId="3996C7C7">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.252</w:t>
            </w:r>
          </w:p>
        </w:tc>
        <w:tc>
          <w:tcPr>
            <w:tcW w:w="709" w:type="dxa"/>
            <w:tcBorders>
              <w:top w:val="single" w:color="AEAEAE" w:sz="8" w:space="0"/>
              <w:left w:val="single" w:color="E0E0E0" w:sz="8" w:space="0"/>
              <w:bottom w:val="single" w:color="AEAEAE" w:sz="8" w:space="0"/>
              <w:right w:val="single" w:color="E0E0E0" w:sz="8" w:space="0"/>
            </w:tcBorders>
            <w:shd w:val="clear" w:color="auto" w:fill="F9F9FB"/>
          </w:tcPr>
          <w:p w14:paraId="6757E533">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4.361</w:t>
            </w:r>
          </w:p>
        </w:tc>
        <w:tc>
          <w:tcPr>
            <w:tcW w:w="709" w:type="dxa"/>
            <w:tcBorders>
              <w:top w:val="single" w:color="AEAEAE" w:sz="8" w:space="0"/>
              <w:left w:val="single" w:color="E0E0E0" w:sz="8" w:space="0"/>
              <w:bottom w:val="single" w:color="AEAEAE" w:sz="8" w:space="0"/>
              <w:right w:val="single" w:color="E0E0E0" w:sz="8" w:space="0"/>
            </w:tcBorders>
            <w:shd w:val="clear" w:color="auto" w:fill="F9F9FB"/>
          </w:tcPr>
          <w:p w14:paraId="2C284147">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&lt;.001</w:t>
            </w:r>
          </w:p>
        </w:tc>
        <w:tc>
          <w:tcPr>
            <w:tcW w:w="1134" w:type="dxa"/>
            <w:tcBorders>
              <w:top w:val="single" w:color="AEAEAE" w:sz="8" w:space="0"/>
              <w:left w:val="single" w:color="E0E0E0" w:sz="8" w:space="0"/>
              <w:bottom w:val="single" w:color="AEAEAE" w:sz="8" w:space="0"/>
              <w:right w:val="single" w:color="E0E0E0" w:sz="8" w:space="0"/>
            </w:tcBorders>
            <w:shd w:val="clear" w:color="auto" w:fill="F9F9FB"/>
          </w:tcPr>
          <w:p w14:paraId="3A8E56FB">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.164</w:t>
            </w:r>
          </w:p>
        </w:tc>
        <w:tc>
          <w:tcPr>
            <w:tcW w:w="780" w:type="dxa"/>
            <w:tcBorders>
              <w:top w:val="single" w:color="AEAEAE" w:sz="8" w:space="0"/>
              <w:left w:val="single" w:color="E0E0E0" w:sz="8" w:space="0"/>
              <w:bottom w:val="single" w:color="AEAEAE" w:sz="8" w:space="0"/>
              <w:right w:val="nil"/>
            </w:tcBorders>
            <w:shd w:val="clear" w:color="auto" w:fill="F9F9FB"/>
          </w:tcPr>
          <w:p w14:paraId="2478066B">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 xml:space="preserve"> .435</w:t>
            </w:r>
          </w:p>
        </w:tc>
      </w:tr>
      <w:tr w14:paraId="03EC22AB">
        <w:tblPrEx>
          <w:tblCellMar>
            <w:top w:w="0" w:type="dxa"/>
            <w:left w:w="0" w:type="dxa"/>
            <w:bottom w:w="0" w:type="dxa"/>
            <w:right w:w="0" w:type="dxa"/>
          </w:tblCellMar>
        </w:tblPrEx>
        <w:trPr>
          <w:cantSplit/>
        </w:trPr>
        <w:tc>
          <w:tcPr>
            <w:tcW w:w="808" w:type="dxa"/>
            <w:vMerge w:val="continue"/>
            <w:tcBorders>
              <w:top w:val="single" w:color="152935" w:sz="8" w:space="0"/>
              <w:left w:val="nil"/>
              <w:bottom w:val="single" w:color="152935" w:sz="8" w:space="0"/>
              <w:right w:val="nil"/>
            </w:tcBorders>
            <w:shd w:val="clear" w:color="auto" w:fill="E0E0E0"/>
          </w:tcPr>
          <w:p w14:paraId="6FED9325">
            <w:pPr>
              <w:autoSpaceDE w:val="0"/>
              <w:autoSpaceDN w:val="0"/>
              <w:adjustRightInd w:val="0"/>
              <w:spacing w:after="0" w:line="240" w:lineRule="auto"/>
              <w:jc w:val="both"/>
              <w:rPr>
                <w:rFonts w:hint="default" w:ascii="Times New Roman" w:hAnsi="Times New Roman" w:cs="Times New Roman"/>
                <w:color w:val="010205"/>
                <w:kern w:val="0"/>
                <w:sz w:val="24"/>
                <w:szCs w:val="24"/>
              </w:rPr>
            </w:pPr>
          </w:p>
        </w:tc>
        <w:tc>
          <w:tcPr>
            <w:tcW w:w="2702" w:type="dxa"/>
            <w:tcBorders>
              <w:top w:val="single" w:color="AEAEAE" w:sz="8" w:space="0"/>
              <w:left w:val="nil"/>
              <w:bottom w:val="single" w:color="AEAEAE" w:sz="8" w:space="0"/>
              <w:right w:val="nil"/>
            </w:tcBorders>
            <w:shd w:val="clear" w:color="auto" w:fill="E0E0E0"/>
          </w:tcPr>
          <w:p w14:paraId="03814C4C">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Administrative Practices (AP)</w:t>
            </w:r>
          </w:p>
        </w:tc>
        <w:tc>
          <w:tcPr>
            <w:tcW w:w="885" w:type="dxa"/>
            <w:tcBorders>
              <w:top w:val="single" w:color="AEAEAE" w:sz="8" w:space="0"/>
              <w:left w:val="nil"/>
              <w:bottom w:val="single" w:color="AEAEAE" w:sz="8" w:space="0"/>
              <w:right w:val="single" w:color="E0E0E0" w:sz="8" w:space="0"/>
            </w:tcBorders>
            <w:shd w:val="clear" w:color="auto" w:fill="F9F9FB"/>
          </w:tcPr>
          <w:p w14:paraId="5C6BE841">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.399</w:t>
            </w:r>
          </w:p>
        </w:tc>
        <w:tc>
          <w:tcPr>
            <w:tcW w:w="708" w:type="dxa"/>
            <w:tcBorders>
              <w:top w:val="single" w:color="AEAEAE" w:sz="8" w:space="0"/>
              <w:left w:val="single" w:color="E0E0E0" w:sz="8" w:space="0"/>
              <w:bottom w:val="single" w:color="AEAEAE" w:sz="8" w:space="0"/>
              <w:right w:val="single" w:color="E0E0E0" w:sz="8" w:space="0"/>
            </w:tcBorders>
            <w:shd w:val="clear" w:color="auto" w:fill="F9F9FB"/>
          </w:tcPr>
          <w:p w14:paraId="3ACF9D82">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.053</w:t>
            </w:r>
          </w:p>
        </w:tc>
        <w:tc>
          <w:tcPr>
            <w:tcW w:w="1276" w:type="dxa"/>
            <w:tcBorders>
              <w:top w:val="single" w:color="AEAEAE" w:sz="8" w:space="0"/>
              <w:left w:val="single" w:color="E0E0E0" w:sz="8" w:space="0"/>
              <w:bottom w:val="single" w:color="AEAEAE" w:sz="8" w:space="0"/>
              <w:right w:val="single" w:color="E0E0E0" w:sz="8" w:space="0"/>
            </w:tcBorders>
            <w:shd w:val="clear" w:color="auto" w:fill="F9F9FB"/>
          </w:tcPr>
          <w:p w14:paraId="5240628E">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.405</w:t>
            </w:r>
          </w:p>
        </w:tc>
        <w:tc>
          <w:tcPr>
            <w:tcW w:w="709" w:type="dxa"/>
            <w:tcBorders>
              <w:top w:val="single" w:color="AEAEAE" w:sz="8" w:space="0"/>
              <w:left w:val="single" w:color="E0E0E0" w:sz="8" w:space="0"/>
              <w:bottom w:val="single" w:color="AEAEAE" w:sz="8" w:space="0"/>
              <w:right w:val="single" w:color="E0E0E0" w:sz="8" w:space="0"/>
            </w:tcBorders>
            <w:shd w:val="clear" w:color="auto" w:fill="F9F9FB"/>
          </w:tcPr>
          <w:p w14:paraId="3B2C853F">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7.471</w:t>
            </w:r>
          </w:p>
        </w:tc>
        <w:tc>
          <w:tcPr>
            <w:tcW w:w="709" w:type="dxa"/>
            <w:tcBorders>
              <w:top w:val="single" w:color="AEAEAE" w:sz="8" w:space="0"/>
              <w:left w:val="single" w:color="E0E0E0" w:sz="8" w:space="0"/>
              <w:bottom w:val="single" w:color="AEAEAE" w:sz="8" w:space="0"/>
              <w:right w:val="single" w:color="E0E0E0" w:sz="8" w:space="0"/>
            </w:tcBorders>
            <w:shd w:val="clear" w:color="auto" w:fill="F9F9FB"/>
          </w:tcPr>
          <w:p w14:paraId="4F3D3B94">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&lt;.001</w:t>
            </w:r>
          </w:p>
        </w:tc>
        <w:tc>
          <w:tcPr>
            <w:tcW w:w="1134" w:type="dxa"/>
            <w:tcBorders>
              <w:top w:val="single" w:color="AEAEAE" w:sz="8" w:space="0"/>
              <w:left w:val="single" w:color="E0E0E0" w:sz="8" w:space="0"/>
              <w:bottom w:val="single" w:color="AEAEAE" w:sz="8" w:space="0"/>
              <w:right w:val="single" w:color="E0E0E0" w:sz="8" w:space="0"/>
            </w:tcBorders>
            <w:shd w:val="clear" w:color="auto" w:fill="F9F9FB"/>
          </w:tcPr>
          <w:p w14:paraId="6080AEC4">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.293</w:t>
            </w:r>
          </w:p>
        </w:tc>
        <w:tc>
          <w:tcPr>
            <w:tcW w:w="780" w:type="dxa"/>
            <w:tcBorders>
              <w:top w:val="single" w:color="AEAEAE" w:sz="8" w:space="0"/>
              <w:left w:val="single" w:color="E0E0E0" w:sz="8" w:space="0"/>
              <w:bottom w:val="single" w:color="AEAEAE" w:sz="8" w:space="0"/>
              <w:right w:val="nil"/>
            </w:tcBorders>
            <w:shd w:val="clear" w:color="auto" w:fill="F9F9FB"/>
          </w:tcPr>
          <w:p w14:paraId="574A6338">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 xml:space="preserve"> .504</w:t>
            </w:r>
          </w:p>
        </w:tc>
      </w:tr>
      <w:tr w14:paraId="7365C964">
        <w:tblPrEx>
          <w:tblCellMar>
            <w:top w:w="0" w:type="dxa"/>
            <w:left w:w="0" w:type="dxa"/>
            <w:bottom w:w="0" w:type="dxa"/>
            <w:right w:w="0" w:type="dxa"/>
          </w:tblCellMar>
        </w:tblPrEx>
        <w:trPr>
          <w:cantSplit/>
        </w:trPr>
        <w:tc>
          <w:tcPr>
            <w:tcW w:w="808" w:type="dxa"/>
            <w:vMerge w:val="continue"/>
            <w:tcBorders>
              <w:top w:val="single" w:color="152935" w:sz="8" w:space="0"/>
              <w:left w:val="nil"/>
              <w:bottom w:val="single" w:color="152935" w:sz="8" w:space="0"/>
              <w:right w:val="nil"/>
            </w:tcBorders>
            <w:shd w:val="clear" w:color="auto" w:fill="E0E0E0"/>
          </w:tcPr>
          <w:p w14:paraId="22A54063">
            <w:pPr>
              <w:autoSpaceDE w:val="0"/>
              <w:autoSpaceDN w:val="0"/>
              <w:adjustRightInd w:val="0"/>
              <w:spacing w:after="0" w:line="240" w:lineRule="auto"/>
              <w:jc w:val="both"/>
              <w:rPr>
                <w:rFonts w:hint="default" w:ascii="Times New Roman" w:hAnsi="Times New Roman" w:cs="Times New Roman"/>
                <w:color w:val="010205"/>
                <w:kern w:val="0"/>
                <w:sz w:val="24"/>
                <w:szCs w:val="24"/>
              </w:rPr>
            </w:pPr>
          </w:p>
        </w:tc>
        <w:tc>
          <w:tcPr>
            <w:tcW w:w="2702" w:type="dxa"/>
            <w:tcBorders>
              <w:top w:val="single" w:color="AEAEAE" w:sz="8" w:space="0"/>
              <w:left w:val="nil"/>
              <w:bottom w:val="single" w:color="152935" w:sz="8" w:space="0"/>
              <w:right w:val="nil"/>
            </w:tcBorders>
            <w:shd w:val="clear" w:color="auto" w:fill="E0E0E0"/>
          </w:tcPr>
          <w:p w14:paraId="10E0A290">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Institutional Outcomes (IO)</w:t>
            </w:r>
          </w:p>
        </w:tc>
        <w:tc>
          <w:tcPr>
            <w:tcW w:w="885" w:type="dxa"/>
            <w:tcBorders>
              <w:top w:val="single" w:color="AEAEAE" w:sz="8" w:space="0"/>
              <w:left w:val="nil"/>
              <w:bottom w:val="single" w:color="152935" w:sz="8" w:space="0"/>
              <w:right w:val="single" w:color="E0E0E0" w:sz="8" w:space="0"/>
            </w:tcBorders>
            <w:shd w:val="clear" w:color="auto" w:fill="F9F9FB"/>
          </w:tcPr>
          <w:p w14:paraId="0FEB6B91">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.339</w:t>
            </w:r>
          </w:p>
        </w:tc>
        <w:tc>
          <w:tcPr>
            <w:tcW w:w="708" w:type="dxa"/>
            <w:tcBorders>
              <w:top w:val="single" w:color="AEAEAE" w:sz="8" w:space="0"/>
              <w:left w:val="single" w:color="E0E0E0" w:sz="8" w:space="0"/>
              <w:bottom w:val="single" w:color="152935" w:sz="8" w:space="0"/>
              <w:right w:val="single" w:color="E0E0E0" w:sz="8" w:space="0"/>
            </w:tcBorders>
            <w:shd w:val="clear" w:color="auto" w:fill="F9F9FB"/>
          </w:tcPr>
          <w:p w14:paraId="335E81EC">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.043</w:t>
            </w:r>
          </w:p>
        </w:tc>
        <w:tc>
          <w:tcPr>
            <w:tcW w:w="1276" w:type="dxa"/>
            <w:tcBorders>
              <w:top w:val="single" w:color="AEAEAE" w:sz="8" w:space="0"/>
              <w:left w:val="single" w:color="E0E0E0" w:sz="8" w:space="0"/>
              <w:bottom w:val="single" w:color="152935" w:sz="8" w:space="0"/>
              <w:right w:val="single" w:color="E0E0E0" w:sz="8" w:space="0"/>
            </w:tcBorders>
            <w:shd w:val="clear" w:color="auto" w:fill="F9F9FB"/>
          </w:tcPr>
          <w:p w14:paraId="3378C531">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.372</w:t>
            </w:r>
          </w:p>
        </w:tc>
        <w:tc>
          <w:tcPr>
            <w:tcW w:w="709" w:type="dxa"/>
            <w:tcBorders>
              <w:top w:val="single" w:color="AEAEAE" w:sz="8" w:space="0"/>
              <w:left w:val="single" w:color="E0E0E0" w:sz="8" w:space="0"/>
              <w:bottom w:val="single" w:color="152935" w:sz="8" w:space="0"/>
              <w:right w:val="single" w:color="E0E0E0" w:sz="8" w:space="0"/>
            </w:tcBorders>
            <w:shd w:val="clear" w:color="auto" w:fill="F9F9FB"/>
          </w:tcPr>
          <w:p w14:paraId="76331394">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7.794</w:t>
            </w:r>
          </w:p>
        </w:tc>
        <w:tc>
          <w:tcPr>
            <w:tcW w:w="709" w:type="dxa"/>
            <w:tcBorders>
              <w:top w:val="single" w:color="AEAEAE" w:sz="8" w:space="0"/>
              <w:left w:val="single" w:color="E0E0E0" w:sz="8" w:space="0"/>
              <w:bottom w:val="single" w:color="152935" w:sz="8" w:space="0"/>
              <w:right w:val="single" w:color="E0E0E0" w:sz="8" w:space="0"/>
            </w:tcBorders>
            <w:shd w:val="clear" w:color="auto" w:fill="F9F9FB"/>
          </w:tcPr>
          <w:p w14:paraId="15A953B8">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&lt;.001</w:t>
            </w:r>
          </w:p>
        </w:tc>
        <w:tc>
          <w:tcPr>
            <w:tcW w:w="1134" w:type="dxa"/>
            <w:tcBorders>
              <w:top w:val="single" w:color="AEAEAE" w:sz="8" w:space="0"/>
              <w:left w:val="single" w:color="E0E0E0" w:sz="8" w:space="0"/>
              <w:bottom w:val="single" w:color="152935" w:sz="8" w:space="0"/>
              <w:right w:val="single" w:color="E0E0E0" w:sz="8" w:space="0"/>
            </w:tcBorders>
            <w:shd w:val="clear" w:color="auto" w:fill="F9F9FB"/>
          </w:tcPr>
          <w:p w14:paraId="6ABEE2D0">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.253</w:t>
            </w:r>
          </w:p>
        </w:tc>
        <w:tc>
          <w:tcPr>
            <w:tcW w:w="780" w:type="dxa"/>
            <w:tcBorders>
              <w:top w:val="single" w:color="AEAEAE" w:sz="8" w:space="0"/>
              <w:left w:val="single" w:color="E0E0E0" w:sz="8" w:space="0"/>
              <w:bottom w:val="single" w:color="152935" w:sz="8" w:space="0"/>
              <w:right w:val="nil"/>
            </w:tcBorders>
            <w:shd w:val="clear" w:color="auto" w:fill="F9F9FB"/>
          </w:tcPr>
          <w:p w14:paraId="47D33695">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 xml:space="preserve"> .425</w:t>
            </w:r>
          </w:p>
        </w:tc>
      </w:tr>
      <w:tr w14:paraId="475B1814">
        <w:tblPrEx>
          <w:tblCellMar>
            <w:top w:w="0" w:type="dxa"/>
            <w:left w:w="0" w:type="dxa"/>
            <w:bottom w:w="0" w:type="dxa"/>
            <w:right w:w="0" w:type="dxa"/>
          </w:tblCellMar>
        </w:tblPrEx>
        <w:trPr>
          <w:cantSplit/>
        </w:trPr>
        <w:tc>
          <w:tcPr>
            <w:tcW w:w="9711" w:type="dxa"/>
            <w:gridSpan w:val="9"/>
            <w:tcBorders>
              <w:top w:val="nil"/>
              <w:left w:val="nil"/>
              <w:bottom w:val="nil"/>
              <w:right w:val="nil"/>
            </w:tcBorders>
            <w:shd w:val="clear" w:color="auto" w:fill="FFFFFF"/>
          </w:tcPr>
          <w:p w14:paraId="483AD273">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Dependent Variable: Institutional Preparedness (IP)</w:t>
            </w:r>
          </w:p>
          <w:p w14:paraId="3D9B8258">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p>
          <w:p w14:paraId="43571A8D">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p>
          <w:p w14:paraId="445F55B3">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p>
          <w:p w14:paraId="5AED7493">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drawing>
                <wp:inline distT="0" distB="0" distL="0" distR="0">
                  <wp:extent cx="6115685" cy="1555750"/>
                  <wp:effectExtent l="0" t="0" r="5715" b="63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2"/>
                          <a:srcRect/>
                          <a:stretch>
                            <a:fillRect/>
                          </a:stretch>
                        </pic:blipFill>
                        <pic:spPr>
                          <a:xfrm>
                            <a:off x="0" y="0"/>
                            <a:ext cx="6116279" cy="1555955"/>
                          </a:xfrm>
                          <a:prstGeom prst="rect">
                            <a:avLst/>
                          </a:prstGeom>
                          <a:noFill/>
                          <a:ln w="9525">
                            <a:noFill/>
                            <a:miter lim="800000"/>
                            <a:headEnd/>
                            <a:tailEnd/>
                          </a:ln>
                        </pic:spPr>
                      </pic:pic>
                    </a:graphicData>
                  </a:graphic>
                </wp:inline>
              </w:drawing>
            </w:r>
          </w:p>
          <w:p w14:paraId="2444702F">
            <w:pPr>
              <w:autoSpaceDE w:val="0"/>
              <w:autoSpaceDN w:val="0"/>
              <w:adjustRightInd w:val="0"/>
              <w:spacing w:after="0" w:line="320" w:lineRule="atLeast"/>
              <w:ind w:left="60" w:right="60"/>
              <w:jc w:val="center"/>
              <w:rPr>
                <w:rFonts w:hint="default" w:ascii="Times New Roman" w:hAnsi="Times New Roman" w:cs="Times New Roman"/>
                <w:color w:val="010205"/>
                <w:kern w:val="0"/>
                <w:sz w:val="24"/>
                <w:szCs w:val="24"/>
              </w:rPr>
            </w:pPr>
            <w:r>
              <w:rPr>
                <w:rFonts w:hint="default" w:ascii="Sans Serif Collection" w:hAnsi="Sans Serif Collection" w:cs="Sans Serif Collection"/>
                <w:b/>
                <w:bCs/>
                <w:color w:val="010205"/>
                <w:kern w:val="0"/>
                <w:sz w:val="24"/>
                <w:szCs w:val="24"/>
              </w:rPr>
              <w:t xml:space="preserve">Fig. </w:t>
            </w:r>
            <w:r>
              <w:rPr>
                <w:rFonts w:hint="default" w:ascii="Sans Serif Collection" w:hAnsi="Sans Serif Collection" w:cs="Sans Serif Collection"/>
                <w:b/>
                <w:bCs/>
                <w:color w:val="010205"/>
                <w:kern w:val="0"/>
                <w:sz w:val="24"/>
                <w:szCs w:val="24"/>
                <w:lang w:val="en-US"/>
              </w:rPr>
              <w:t>3</w:t>
            </w:r>
            <w:r>
              <w:rPr>
                <w:rFonts w:hint="default" w:ascii="Sans Serif Collection" w:hAnsi="Sans Serif Collection" w:cs="Sans Serif Collection"/>
                <w:b/>
                <w:bCs/>
                <w:color w:val="010205"/>
                <w:kern w:val="0"/>
                <w:sz w:val="24"/>
                <w:szCs w:val="24"/>
              </w:rPr>
              <w:t xml:space="preserve"> – Relationship map</w:t>
            </w:r>
          </w:p>
        </w:tc>
      </w:tr>
    </w:tbl>
    <w:p w14:paraId="5DCC5FA4">
      <w:pPr>
        <w:spacing w:before="100" w:beforeAutospacing="1" w:after="100" w:afterAutospacing="1" w:line="240" w:lineRule="auto"/>
        <w:jc w:val="both"/>
        <w:rPr>
          <w:rFonts w:hint="default" w:ascii="Times New Roman" w:hAnsi="Times New Roman" w:eastAsia="Times New Roman" w:cs="Times New Roman"/>
          <w:kern w:val="0"/>
          <w:sz w:val="24"/>
          <w:szCs w:val="24"/>
        </w:rPr>
      </w:pPr>
    </w:p>
    <w:tbl>
      <w:tblPr>
        <w:tblStyle w:val="6"/>
        <w:tblW w:w="9408" w:type="dxa"/>
        <w:tblInd w:w="0" w:type="dxa"/>
        <w:tblLayout w:type="fixed"/>
        <w:tblCellMar>
          <w:top w:w="0" w:type="dxa"/>
          <w:left w:w="0" w:type="dxa"/>
          <w:bottom w:w="0" w:type="dxa"/>
          <w:right w:w="0" w:type="dxa"/>
        </w:tblCellMar>
      </w:tblPr>
      <w:tblGrid>
        <w:gridCol w:w="782"/>
        <w:gridCol w:w="1324"/>
        <w:gridCol w:w="2616"/>
        <w:gridCol w:w="1562"/>
        <w:gridCol w:w="1562"/>
        <w:gridCol w:w="1562"/>
      </w:tblGrid>
      <w:tr w14:paraId="0B3F5142">
        <w:tblPrEx>
          <w:tblCellMar>
            <w:top w:w="0" w:type="dxa"/>
            <w:left w:w="0" w:type="dxa"/>
            <w:bottom w:w="0" w:type="dxa"/>
            <w:right w:w="0" w:type="dxa"/>
          </w:tblCellMar>
        </w:tblPrEx>
        <w:trPr>
          <w:cantSplit/>
        </w:trPr>
        <w:tc>
          <w:tcPr>
            <w:tcW w:w="9405" w:type="dxa"/>
            <w:gridSpan w:val="6"/>
            <w:tcBorders>
              <w:top w:val="nil"/>
              <w:left w:val="nil"/>
              <w:bottom w:val="nil"/>
              <w:right w:val="nil"/>
            </w:tcBorders>
            <w:shd w:val="clear" w:color="auto" w:fill="FFFFFF"/>
            <w:vAlign w:val="center"/>
          </w:tcPr>
          <w:p w14:paraId="6B6C0D92">
            <w:pPr>
              <w:autoSpaceDE w:val="0"/>
              <w:autoSpaceDN w:val="0"/>
              <w:adjustRightInd w:val="0"/>
              <w:spacing w:after="0" w:line="320" w:lineRule="atLeast"/>
              <w:ind w:right="60"/>
              <w:jc w:val="both"/>
              <w:rPr>
                <w:rFonts w:hint="default" w:ascii="Times New Roman" w:hAnsi="Times New Roman" w:cs="Times New Roman"/>
                <w:b/>
                <w:bCs/>
                <w:color w:val="010205"/>
                <w:kern w:val="0"/>
                <w:sz w:val="24"/>
                <w:szCs w:val="24"/>
              </w:rPr>
            </w:pPr>
          </w:p>
          <w:p w14:paraId="69B120CE">
            <w:pPr>
              <w:autoSpaceDE w:val="0"/>
              <w:autoSpaceDN w:val="0"/>
              <w:adjustRightInd w:val="0"/>
              <w:spacing w:after="0" w:line="320" w:lineRule="atLeast"/>
              <w:ind w:left="60" w:right="60"/>
              <w:jc w:val="both"/>
              <w:rPr>
                <w:rFonts w:hint="default" w:ascii="Times New Roman" w:hAnsi="Times New Roman" w:cs="Times New Roman"/>
                <w:b/>
                <w:bCs/>
                <w:color w:val="010205"/>
                <w:kern w:val="0"/>
                <w:sz w:val="24"/>
                <w:szCs w:val="24"/>
              </w:rPr>
            </w:pPr>
          </w:p>
          <w:p w14:paraId="08E995DE">
            <w:pPr>
              <w:autoSpaceDE w:val="0"/>
              <w:autoSpaceDN w:val="0"/>
              <w:adjustRightInd w:val="0"/>
              <w:spacing w:after="0" w:line="320" w:lineRule="atLeast"/>
              <w:ind w:left="60" w:right="60"/>
              <w:jc w:val="center"/>
              <w:rPr>
                <w:rFonts w:hint="default" w:ascii="Times New Roman" w:hAnsi="Times New Roman" w:cs="Times New Roman"/>
                <w:color w:val="010205"/>
                <w:kern w:val="0"/>
                <w:sz w:val="24"/>
                <w:szCs w:val="24"/>
              </w:rPr>
            </w:pPr>
            <w:r>
              <w:rPr>
                <w:rFonts w:hint="default" w:ascii="Sans Serif Collection" w:hAnsi="Sans Serif Collection" w:cs="Sans Serif Collection"/>
                <w:b/>
                <w:bCs/>
                <w:color w:val="010205"/>
                <w:kern w:val="0"/>
                <w:sz w:val="24"/>
                <w:szCs w:val="24"/>
              </w:rPr>
              <w:t xml:space="preserve">Table </w:t>
            </w:r>
            <w:r>
              <w:rPr>
                <w:rFonts w:hint="default" w:ascii="Sans Serif Collection" w:hAnsi="Sans Serif Collection" w:cs="Sans Serif Collection"/>
                <w:b/>
                <w:bCs/>
                <w:color w:val="010205"/>
                <w:kern w:val="0"/>
                <w:sz w:val="24"/>
                <w:szCs w:val="24"/>
                <w:lang w:val="en-US"/>
              </w:rPr>
              <w:t>6</w:t>
            </w:r>
            <w:r>
              <w:rPr>
                <w:rFonts w:hint="default" w:ascii="Sans Serif Collection" w:hAnsi="Sans Serif Collection" w:cs="Sans Serif Collection"/>
                <w:b/>
                <w:bCs/>
                <w:color w:val="010205"/>
                <w:kern w:val="0"/>
                <w:sz w:val="24"/>
                <w:szCs w:val="24"/>
              </w:rPr>
              <w:t xml:space="preserve"> - Coefficient Correlations</w:t>
            </w:r>
          </w:p>
        </w:tc>
      </w:tr>
      <w:tr w14:paraId="7AC4E5C4">
        <w:tblPrEx>
          <w:tblCellMar>
            <w:top w:w="0" w:type="dxa"/>
            <w:left w:w="0" w:type="dxa"/>
            <w:bottom w:w="0" w:type="dxa"/>
            <w:right w:w="0" w:type="dxa"/>
          </w:tblCellMar>
        </w:tblPrEx>
        <w:trPr>
          <w:cantSplit/>
        </w:trPr>
        <w:tc>
          <w:tcPr>
            <w:tcW w:w="4719" w:type="dxa"/>
            <w:gridSpan w:val="3"/>
            <w:tcBorders>
              <w:top w:val="nil"/>
              <w:left w:val="nil"/>
              <w:bottom w:val="single" w:color="152935" w:sz="8" w:space="0"/>
              <w:right w:val="nil"/>
            </w:tcBorders>
            <w:shd w:val="clear" w:color="auto" w:fill="FFFFFF"/>
            <w:vAlign w:val="bottom"/>
          </w:tcPr>
          <w:p w14:paraId="46F8CA08">
            <w:pPr>
              <w:autoSpaceDE w:val="0"/>
              <w:autoSpaceDN w:val="0"/>
              <w:adjustRightInd w:val="0"/>
              <w:spacing w:after="0" w:line="320" w:lineRule="atLeast"/>
              <w:ind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Model</w:t>
            </w:r>
          </w:p>
        </w:tc>
        <w:tc>
          <w:tcPr>
            <w:tcW w:w="1562" w:type="dxa"/>
            <w:tcBorders>
              <w:top w:val="nil"/>
              <w:left w:val="nil"/>
              <w:bottom w:val="single" w:color="152935" w:sz="8" w:space="0"/>
              <w:right w:val="single" w:color="E0E0E0" w:sz="8" w:space="0"/>
            </w:tcBorders>
            <w:shd w:val="clear" w:color="auto" w:fill="FFFFFF"/>
            <w:vAlign w:val="bottom"/>
          </w:tcPr>
          <w:p w14:paraId="6FEF9163">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Institutional Outcomes (IO)</w:t>
            </w:r>
          </w:p>
        </w:tc>
        <w:tc>
          <w:tcPr>
            <w:tcW w:w="1562" w:type="dxa"/>
            <w:tcBorders>
              <w:top w:val="nil"/>
              <w:left w:val="single" w:color="E0E0E0" w:sz="8" w:space="0"/>
              <w:bottom w:val="single" w:color="152935" w:sz="8" w:space="0"/>
              <w:right w:val="single" w:color="E0E0E0" w:sz="8" w:space="0"/>
            </w:tcBorders>
            <w:shd w:val="clear" w:color="auto" w:fill="FFFFFF"/>
            <w:vAlign w:val="bottom"/>
          </w:tcPr>
          <w:p w14:paraId="466F22CB">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Administrative Practices (AP)</w:t>
            </w:r>
          </w:p>
        </w:tc>
        <w:tc>
          <w:tcPr>
            <w:tcW w:w="1562" w:type="dxa"/>
            <w:tcBorders>
              <w:top w:val="nil"/>
              <w:left w:val="single" w:color="E0E0E0" w:sz="8" w:space="0"/>
              <w:bottom w:val="single" w:color="152935" w:sz="8" w:space="0"/>
              <w:right w:val="nil"/>
            </w:tcBorders>
            <w:shd w:val="clear" w:color="auto" w:fill="FFFFFF"/>
            <w:vAlign w:val="bottom"/>
          </w:tcPr>
          <w:p w14:paraId="244FBC6F">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Implementation Challenges (IC)</w:t>
            </w:r>
          </w:p>
        </w:tc>
      </w:tr>
      <w:tr w14:paraId="0B0435D4">
        <w:tblPrEx>
          <w:tblCellMar>
            <w:top w:w="0" w:type="dxa"/>
            <w:left w:w="0" w:type="dxa"/>
            <w:bottom w:w="0" w:type="dxa"/>
            <w:right w:w="0" w:type="dxa"/>
          </w:tblCellMar>
        </w:tblPrEx>
        <w:trPr>
          <w:cantSplit/>
        </w:trPr>
        <w:tc>
          <w:tcPr>
            <w:tcW w:w="781" w:type="dxa"/>
            <w:vMerge w:val="restart"/>
            <w:tcBorders>
              <w:top w:val="single" w:color="152935" w:sz="8" w:space="0"/>
              <w:left w:val="nil"/>
              <w:bottom w:val="single" w:color="152935" w:sz="8" w:space="0"/>
              <w:right w:val="nil"/>
            </w:tcBorders>
            <w:shd w:val="clear" w:color="auto" w:fill="E0E0E0"/>
          </w:tcPr>
          <w:p w14:paraId="0EA8DD31">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1</w:t>
            </w:r>
          </w:p>
        </w:tc>
        <w:tc>
          <w:tcPr>
            <w:tcW w:w="1323" w:type="dxa"/>
            <w:vMerge w:val="restart"/>
            <w:tcBorders>
              <w:top w:val="single" w:color="152935" w:sz="8" w:space="0"/>
              <w:left w:val="nil"/>
              <w:bottom w:val="nil"/>
              <w:right w:val="nil"/>
            </w:tcBorders>
            <w:shd w:val="clear" w:color="auto" w:fill="E0E0E0"/>
          </w:tcPr>
          <w:p w14:paraId="5BA29A79">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Correlations</w:t>
            </w:r>
          </w:p>
        </w:tc>
        <w:tc>
          <w:tcPr>
            <w:tcW w:w="2615" w:type="dxa"/>
            <w:tcBorders>
              <w:top w:val="single" w:color="152935" w:sz="8" w:space="0"/>
              <w:left w:val="nil"/>
              <w:bottom w:val="single" w:color="AEAEAE" w:sz="8" w:space="0"/>
              <w:right w:val="nil"/>
            </w:tcBorders>
            <w:shd w:val="clear" w:color="auto" w:fill="E0E0E0"/>
          </w:tcPr>
          <w:p w14:paraId="33934720">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Institutional Outcomes (IO)</w:t>
            </w:r>
          </w:p>
        </w:tc>
        <w:tc>
          <w:tcPr>
            <w:tcW w:w="1562" w:type="dxa"/>
            <w:tcBorders>
              <w:top w:val="single" w:color="152935" w:sz="8" w:space="0"/>
              <w:left w:val="nil"/>
              <w:bottom w:val="single" w:color="AEAEAE" w:sz="8" w:space="0"/>
              <w:right w:val="single" w:color="E0E0E0" w:sz="8" w:space="0"/>
            </w:tcBorders>
            <w:shd w:val="clear" w:color="auto" w:fill="F9F9FB"/>
          </w:tcPr>
          <w:p w14:paraId="2B10EB8E">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1.000</w:t>
            </w:r>
          </w:p>
        </w:tc>
        <w:tc>
          <w:tcPr>
            <w:tcW w:w="1562" w:type="dxa"/>
            <w:tcBorders>
              <w:top w:val="single" w:color="152935" w:sz="8" w:space="0"/>
              <w:left w:val="single" w:color="E0E0E0" w:sz="8" w:space="0"/>
              <w:bottom w:val="single" w:color="AEAEAE" w:sz="8" w:space="0"/>
              <w:right w:val="single" w:color="E0E0E0" w:sz="8" w:space="0"/>
            </w:tcBorders>
            <w:shd w:val="clear" w:color="auto" w:fill="F9F9FB"/>
          </w:tcPr>
          <w:p w14:paraId="1D8E8ADA">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-.204</w:t>
            </w:r>
          </w:p>
        </w:tc>
        <w:tc>
          <w:tcPr>
            <w:tcW w:w="1562" w:type="dxa"/>
            <w:tcBorders>
              <w:top w:val="single" w:color="152935" w:sz="8" w:space="0"/>
              <w:left w:val="single" w:color="E0E0E0" w:sz="8" w:space="0"/>
              <w:bottom w:val="single" w:color="AEAEAE" w:sz="8" w:space="0"/>
              <w:right w:val="nil"/>
            </w:tcBorders>
            <w:shd w:val="clear" w:color="auto" w:fill="F9F9FB"/>
          </w:tcPr>
          <w:p w14:paraId="4CC6418F">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-.393</w:t>
            </w:r>
          </w:p>
        </w:tc>
      </w:tr>
      <w:tr w14:paraId="1328992F">
        <w:tblPrEx>
          <w:tblCellMar>
            <w:top w:w="0" w:type="dxa"/>
            <w:left w:w="0" w:type="dxa"/>
            <w:bottom w:w="0" w:type="dxa"/>
            <w:right w:w="0" w:type="dxa"/>
          </w:tblCellMar>
        </w:tblPrEx>
        <w:trPr>
          <w:cantSplit/>
        </w:trPr>
        <w:tc>
          <w:tcPr>
            <w:tcW w:w="781" w:type="dxa"/>
            <w:vMerge w:val="continue"/>
            <w:tcBorders>
              <w:top w:val="single" w:color="152935" w:sz="8" w:space="0"/>
              <w:left w:val="nil"/>
              <w:bottom w:val="single" w:color="152935" w:sz="8" w:space="0"/>
              <w:right w:val="nil"/>
            </w:tcBorders>
            <w:shd w:val="clear" w:color="auto" w:fill="E0E0E0"/>
          </w:tcPr>
          <w:p w14:paraId="3278AB21">
            <w:pPr>
              <w:autoSpaceDE w:val="0"/>
              <w:autoSpaceDN w:val="0"/>
              <w:adjustRightInd w:val="0"/>
              <w:spacing w:after="0" w:line="240" w:lineRule="auto"/>
              <w:jc w:val="both"/>
              <w:rPr>
                <w:rFonts w:hint="default" w:ascii="Times New Roman" w:hAnsi="Times New Roman" w:cs="Times New Roman"/>
                <w:color w:val="010205"/>
                <w:kern w:val="0"/>
                <w:sz w:val="24"/>
                <w:szCs w:val="24"/>
              </w:rPr>
            </w:pPr>
          </w:p>
        </w:tc>
        <w:tc>
          <w:tcPr>
            <w:tcW w:w="1323" w:type="dxa"/>
            <w:vMerge w:val="continue"/>
            <w:tcBorders>
              <w:top w:val="single" w:color="152935" w:sz="8" w:space="0"/>
              <w:left w:val="nil"/>
              <w:bottom w:val="nil"/>
              <w:right w:val="nil"/>
            </w:tcBorders>
            <w:shd w:val="clear" w:color="auto" w:fill="E0E0E0"/>
          </w:tcPr>
          <w:p w14:paraId="52AB2E88">
            <w:pPr>
              <w:autoSpaceDE w:val="0"/>
              <w:autoSpaceDN w:val="0"/>
              <w:adjustRightInd w:val="0"/>
              <w:spacing w:after="0" w:line="240" w:lineRule="auto"/>
              <w:jc w:val="both"/>
              <w:rPr>
                <w:rFonts w:hint="default" w:ascii="Times New Roman" w:hAnsi="Times New Roman" w:cs="Times New Roman"/>
                <w:color w:val="010205"/>
                <w:kern w:val="0"/>
                <w:sz w:val="24"/>
                <w:szCs w:val="24"/>
              </w:rPr>
            </w:pPr>
          </w:p>
        </w:tc>
        <w:tc>
          <w:tcPr>
            <w:tcW w:w="2615" w:type="dxa"/>
            <w:tcBorders>
              <w:top w:val="single" w:color="AEAEAE" w:sz="8" w:space="0"/>
              <w:left w:val="nil"/>
              <w:bottom w:val="single" w:color="AEAEAE" w:sz="8" w:space="0"/>
              <w:right w:val="nil"/>
            </w:tcBorders>
            <w:shd w:val="clear" w:color="auto" w:fill="E0E0E0"/>
          </w:tcPr>
          <w:p w14:paraId="6E76B34D">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Administrative Practices (AP)</w:t>
            </w:r>
          </w:p>
        </w:tc>
        <w:tc>
          <w:tcPr>
            <w:tcW w:w="1562" w:type="dxa"/>
            <w:tcBorders>
              <w:top w:val="single" w:color="AEAEAE" w:sz="8" w:space="0"/>
              <w:left w:val="nil"/>
              <w:bottom w:val="single" w:color="AEAEAE" w:sz="8" w:space="0"/>
              <w:right w:val="single" w:color="E0E0E0" w:sz="8" w:space="0"/>
            </w:tcBorders>
            <w:shd w:val="clear" w:color="auto" w:fill="F9F9FB"/>
          </w:tcPr>
          <w:p w14:paraId="340D8C50">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-.204</w:t>
            </w:r>
          </w:p>
        </w:tc>
        <w:tc>
          <w:tcPr>
            <w:tcW w:w="1562" w:type="dxa"/>
            <w:tcBorders>
              <w:top w:val="single" w:color="AEAEAE" w:sz="8" w:space="0"/>
              <w:left w:val="single" w:color="E0E0E0" w:sz="8" w:space="0"/>
              <w:bottom w:val="single" w:color="AEAEAE" w:sz="8" w:space="0"/>
              <w:right w:val="single" w:color="E0E0E0" w:sz="8" w:space="0"/>
            </w:tcBorders>
            <w:shd w:val="clear" w:color="auto" w:fill="F9F9FB"/>
          </w:tcPr>
          <w:p w14:paraId="706A762B">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1.000</w:t>
            </w:r>
          </w:p>
        </w:tc>
        <w:tc>
          <w:tcPr>
            <w:tcW w:w="1562" w:type="dxa"/>
            <w:tcBorders>
              <w:top w:val="single" w:color="AEAEAE" w:sz="8" w:space="0"/>
              <w:left w:val="single" w:color="E0E0E0" w:sz="8" w:space="0"/>
              <w:bottom w:val="single" w:color="AEAEAE" w:sz="8" w:space="0"/>
              <w:right w:val="nil"/>
            </w:tcBorders>
            <w:shd w:val="clear" w:color="auto" w:fill="F9F9FB"/>
          </w:tcPr>
          <w:p w14:paraId="28998E1E">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-.586</w:t>
            </w:r>
          </w:p>
        </w:tc>
      </w:tr>
      <w:tr w14:paraId="60E6C167">
        <w:tblPrEx>
          <w:tblCellMar>
            <w:top w:w="0" w:type="dxa"/>
            <w:left w:w="0" w:type="dxa"/>
            <w:bottom w:w="0" w:type="dxa"/>
            <w:right w:w="0" w:type="dxa"/>
          </w:tblCellMar>
        </w:tblPrEx>
        <w:trPr>
          <w:cantSplit/>
        </w:trPr>
        <w:tc>
          <w:tcPr>
            <w:tcW w:w="781" w:type="dxa"/>
            <w:vMerge w:val="continue"/>
            <w:tcBorders>
              <w:top w:val="single" w:color="152935" w:sz="8" w:space="0"/>
              <w:left w:val="nil"/>
              <w:bottom w:val="single" w:color="152935" w:sz="8" w:space="0"/>
              <w:right w:val="nil"/>
            </w:tcBorders>
            <w:shd w:val="clear" w:color="auto" w:fill="E0E0E0"/>
          </w:tcPr>
          <w:p w14:paraId="21B4BA94">
            <w:pPr>
              <w:autoSpaceDE w:val="0"/>
              <w:autoSpaceDN w:val="0"/>
              <w:adjustRightInd w:val="0"/>
              <w:spacing w:after="0" w:line="240" w:lineRule="auto"/>
              <w:jc w:val="both"/>
              <w:rPr>
                <w:rFonts w:hint="default" w:ascii="Times New Roman" w:hAnsi="Times New Roman" w:cs="Times New Roman"/>
                <w:color w:val="010205"/>
                <w:kern w:val="0"/>
                <w:sz w:val="24"/>
                <w:szCs w:val="24"/>
              </w:rPr>
            </w:pPr>
          </w:p>
        </w:tc>
        <w:tc>
          <w:tcPr>
            <w:tcW w:w="1323" w:type="dxa"/>
            <w:vMerge w:val="continue"/>
            <w:tcBorders>
              <w:top w:val="single" w:color="152935" w:sz="8" w:space="0"/>
              <w:left w:val="nil"/>
              <w:bottom w:val="nil"/>
              <w:right w:val="nil"/>
            </w:tcBorders>
            <w:shd w:val="clear" w:color="auto" w:fill="E0E0E0"/>
          </w:tcPr>
          <w:p w14:paraId="4E8BFB8E">
            <w:pPr>
              <w:autoSpaceDE w:val="0"/>
              <w:autoSpaceDN w:val="0"/>
              <w:adjustRightInd w:val="0"/>
              <w:spacing w:after="0" w:line="240" w:lineRule="auto"/>
              <w:jc w:val="both"/>
              <w:rPr>
                <w:rFonts w:hint="default" w:ascii="Times New Roman" w:hAnsi="Times New Roman" w:cs="Times New Roman"/>
                <w:color w:val="010205"/>
                <w:kern w:val="0"/>
                <w:sz w:val="24"/>
                <w:szCs w:val="24"/>
              </w:rPr>
            </w:pPr>
          </w:p>
        </w:tc>
        <w:tc>
          <w:tcPr>
            <w:tcW w:w="2615" w:type="dxa"/>
            <w:tcBorders>
              <w:top w:val="single" w:color="AEAEAE" w:sz="8" w:space="0"/>
              <w:left w:val="nil"/>
              <w:bottom w:val="nil"/>
              <w:right w:val="nil"/>
            </w:tcBorders>
            <w:shd w:val="clear" w:color="auto" w:fill="E0E0E0"/>
          </w:tcPr>
          <w:p w14:paraId="1CEDD92E">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Implementation Challenges (IC)</w:t>
            </w:r>
          </w:p>
        </w:tc>
        <w:tc>
          <w:tcPr>
            <w:tcW w:w="1562" w:type="dxa"/>
            <w:tcBorders>
              <w:top w:val="single" w:color="AEAEAE" w:sz="8" w:space="0"/>
              <w:left w:val="nil"/>
              <w:bottom w:val="nil"/>
              <w:right w:val="single" w:color="E0E0E0" w:sz="8" w:space="0"/>
            </w:tcBorders>
            <w:shd w:val="clear" w:color="auto" w:fill="F9F9FB"/>
          </w:tcPr>
          <w:p w14:paraId="7DC64056">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-.393</w:t>
            </w:r>
          </w:p>
        </w:tc>
        <w:tc>
          <w:tcPr>
            <w:tcW w:w="1562" w:type="dxa"/>
            <w:tcBorders>
              <w:top w:val="single" w:color="AEAEAE" w:sz="8" w:space="0"/>
              <w:left w:val="single" w:color="E0E0E0" w:sz="8" w:space="0"/>
              <w:bottom w:val="nil"/>
              <w:right w:val="single" w:color="E0E0E0" w:sz="8" w:space="0"/>
            </w:tcBorders>
            <w:shd w:val="clear" w:color="auto" w:fill="F9F9FB"/>
          </w:tcPr>
          <w:p w14:paraId="18D741F2">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-.586</w:t>
            </w:r>
          </w:p>
        </w:tc>
        <w:tc>
          <w:tcPr>
            <w:tcW w:w="1562" w:type="dxa"/>
            <w:tcBorders>
              <w:top w:val="single" w:color="AEAEAE" w:sz="8" w:space="0"/>
              <w:left w:val="single" w:color="E0E0E0" w:sz="8" w:space="0"/>
              <w:bottom w:val="nil"/>
              <w:right w:val="nil"/>
            </w:tcBorders>
            <w:shd w:val="clear" w:color="auto" w:fill="F9F9FB"/>
          </w:tcPr>
          <w:p w14:paraId="7FE49918">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1.000</w:t>
            </w:r>
          </w:p>
        </w:tc>
      </w:tr>
      <w:tr w14:paraId="5966AFCB">
        <w:tblPrEx>
          <w:tblCellMar>
            <w:top w:w="0" w:type="dxa"/>
            <w:left w:w="0" w:type="dxa"/>
            <w:bottom w:w="0" w:type="dxa"/>
            <w:right w:w="0" w:type="dxa"/>
          </w:tblCellMar>
        </w:tblPrEx>
        <w:trPr>
          <w:cantSplit/>
        </w:trPr>
        <w:tc>
          <w:tcPr>
            <w:tcW w:w="781" w:type="dxa"/>
            <w:vMerge w:val="continue"/>
            <w:tcBorders>
              <w:top w:val="single" w:color="152935" w:sz="8" w:space="0"/>
              <w:left w:val="nil"/>
              <w:bottom w:val="single" w:color="152935" w:sz="8" w:space="0"/>
              <w:right w:val="nil"/>
            </w:tcBorders>
            <w:shd w:val="clear" w:color="auto" w:fill="E0E0E0"/>
          </w:tcPr>
          <w:p w14:paraId="2293B4A3">
            <w:pPr>
              <w:autoSpaceDE w:val="0"/>
              <w:autoSpaceDN w:val="0"/>
              <w:adjustRightInd w:val="0"/>
              <w:spacing w:after="0" w:line="240" w:lineRule="auto"/>
              <w:jc w:val="both"/>
              <w:rPr>
                <w:rFonts w:hint="default" w:ascii="Times New Roman" w:hAnsi="Times New Roman" w:cs="Times New Roman"/>
                <w:color w:val="010205"/>
                <w:kern w:val="0"/>
                <w:sz w:val="24"/>
                <w:szCs w:val="24"/>
              </w:rPr>
            </w:pPr>
          </w:p>
        </w:tc>
        <w:tc>
          <w:tcPr>
            <w:tcW w:w="1323" w:type="dxa"/>
            <w:vMerge w:val="restart"/>
            <w:tcBorders>
              <w:top w:val="single" w:color="AEAEAE" w:sz="8" w:space="0"/>
              <w:left w:val="nil"/>
              <w:bottom w:val="single" w:color="152935" w:sz="8" w:space="0"/>
              <w:right w:val="nil"/>
            </w:tcBorders>
            <w:shd w:val="clear" w:color="auto" w:fill="E0E0E0"/>
          </w:tcPr>
          <w:p w14:paraId="7E287552">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Covariances</w:t>
            </w:r>
          </w:p>
        </w:tc>
        <w:tc>
          <w:tcPr>
            <w:tcW w:w="2615" w:type="dxa"/>
            <w:tcBorders>
              <w:top w:val="single" w:color="AEAEAE" w:sz="8" w:space="0"/>
              <w:left w:val="nil"/>
              <w:bottom w:val="single" w:color="AEAEAE" w:sz="8" w:space="0"/>
              <w:right w:val="nil"/>
            </w:tcBorders>
            <w:shd w:val="clear" w:color="auto" w:fill="E0E0E0"/>
          </w:tcPr>
          <w:p w14:paraId="17004072">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Institutional Outcomes (IO)</w:t>
            </w:r>
          </w:p>
        </w:tc>
        <w:tc>
          <w:tcPr>
            <w:tcW w:w="1562" w:type="dxa"/>
            <w:tcBorders>
              <w:top w:val="single" w:color="AEAEAE" w:sz="8" w:space="0"/>
              <w:left w:val="nil"/>
              <w:bottom w:val="single" w:color="AEAEAE" w:sz="8" w:space="0"/>
              <w:right w:val="single" w:color="E0E0E0" w:sz="8" w:space="0"/>
            </w:tcBorders>
            <w:shd w:val="clear" w:color="auto" w:fill="F9F9FB"/>
          </w:tcPr>
          <w:p w14:paraId="73FADA79">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.002</w:t>
            </w:r>
          </w:p>
        </w:tc>
        <w:tc>
          <w:tcPr>
            <w:tcW w:w="1562" w:type="dxa"/>
            <w:tcBorders>
              <w:top w:val="single" w:color="AEAEAE" w:sz="8" w:space="0"/>
              <w:left w:val="single" w:color="E0E0E0" w:sz="8" w:space="0"/>
              <w:bottom w:val="single" w:color="AEAEAE" w:sz="8" w:space="0"/>
              <w:right w:val="single" w:color="E0E0E0" w:sz="8" w:space="0"/>
            </w:tcBorders>
            <w:shd w:val="clear" w:color="auto" w:fill="F9F9FB"/>
          </w:tcPr>
          <w:p w14:paraId="5B2482F2">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.000</w:t>
            </w:r>
          </w:p>
        </w:tc>
        <w:tc>
          <w:tcPr>
            <w:tcW w:w="1562" w:type="dxa"/>
            <w:tcBorders>
              <w:top w:val="single" w:color="AEAEAE" w:sz="8" w:space="0"/>
              <w:left w:val="single" w:color="E0E0E0" w:sz="8" w:space="0"/>
              <w:bottom w:val="single" w:color="AEAEAE" w:sz="8" w:space="0"/>
              <w:right w:val="nil"/>
            </w:tcBorders>
            <w:shd w:val="clear" w:color="auto" w:fill="F9F9FB"/>
          </w:tcPr>
          <w:p w14:paraId="49595D4A">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-.001</w:t>
            </w:r>
          </w:p>
        </w:tc>
      </w:tr>
      <w:tr w14:paraId="7A63F257">
        <w:tblPrEx>
          <w:tblCellMar>
            <w:top w:w="0" w:type="dxa"/>
            <w:left w:w="0" w:type="dxa"/>
            <w:bottom w:w="0" w:type="dxa"/>
            <w:right w:w="0" w:type="dxa"/>
          </w:tblCellMar>
        </w:tblPrEx>
        <w:trPr>
          <w:cantSplit/>
        </w:trPr>
        <w:tc>
          <w:tcPr>
            <w:tcW w:w="781" w:type="dxa"/>
            <w:vMerge w:val="continue"/>
            <w:tcBorders>
              <w:top w:val="single" w:color="152935" w:sz="8" w:space="0"/>
              <w:left w:val="nil"/>
              <w:bottom w:val="single" w:color="152935" w:sz="8" w:space="0"/>
              <w:right w:val="nil"/>
            </w:tcBorders>
            <w:shd w:val="clear" w:color="auto" w:fill="E0E0E0"/>
          </w:tcPr>
          <w:p w14:paraId="14C69CEE">
            <w:pPr>
              <w:autoSpaceDE w:val="0"/>
              <w:autoSpaceDN w:val="0"/>
              <w:adjustRightInd w:val="0"/>
              <w:spacing w:after="0" w:line="240" w:lineRule="auto"/>
              <w:jc w:val="both"/>
              <w:rPr>
                <w:rFonts w:hint="default" w:ascii="Times New Roman" w:hAnsi="Times New Roman" w:cs="Times New Roman"/>
                <w:color w:val="010205"/>
                <w:kern w:val="0"/>
                <w:sz w:val="24"/>
                <w:szCs w:val="24"/>
              </w:rPr>
            </w:pPr>
          </w:p>
        </w:tc>
        <w:tc>
          <w:tcPr>
            <w:tcW w:w="1323" w:type="dxa"/>
            <w:vMerge w:val="continue"/>
            <w:tcBorders>
              <w:top w:val="single" w:color="AEAEAE" w:sz="8" w:space="0"/>
              <w:left w:val="nil"/>
              <w:bottom w:val="single" w:color="152935" w:sz="8" w:space="0"/>
              <w:right w:val="nil"/>
            </w:tcBorders>
            <w:shd w:val="clear" w:color="auto" w:fill="E0E0E0"/>
          </w:tcPr>
          <w:p w14:paraId="2C7E8902">
            <w:pPr>
              <w:autoSpaceDE w:val="0"/>
              <w:autoSpaceDN w:val="0"/>
              <w:adjustRightInd w:val="0"/>
              <w:spacing w:after="0" w:line="240" w:lineRule="auto"/>
              <w:jc w:val="both"/>
              <w:rPr>
                <w:rFonts w:hint="default" w:ascii="Times New Roman" w:hAnsi="Times New Roman" w:cs="Times New Roman"/>
                <w:color w:val="010205"/>
                <w:kern w:val="0"/>
                <w:sz w:val="24"/>
                <w:szCs w:val="24"/>
              </w:rPr>
            </w:pPr>
          </w:p>
        </w:tc>
        <w:tc>
          <w:tcPr>
            <w:tcW w:w="2615" w:type="dxa"/>
            <w:tcBorders>
              <w:top w:val="single" w:color="AEAEAE" w:sz="8" w:space="0"/>
              <w:left w:val="nil"/>
              <w:bottom w:val="single" w:color="AEAEAE" w:sz="8" w:space="0"/>
              <w:right w:val="nil"/>
            </w:tcBorders>
            <w:shd w:val="clear" w:color="auto" w:fill="E0E0E0"/>
          </w:tcPr>
          <w:p w14:paraId="5667ECFA">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Administrative Practices (AP)</w:t>
            </w:r>
          </w:p>
        </w:tc>
        <w:tc>
          <w:tcPr>
            <w:tcW w:w="1562" w:type="dxa"/>
            <w:tcBorders>
              <w:top w:val="single" w:color="AEAEAE" w:sz="8" w:space="0"/>
              <w:left w:val="nil"/>
              <w:bottom w:val="single" w:color="AEAEAE" w:sz="8" w:space="0"/>
              <w:right w:val="single" w:color="E0E0E0" w:sz="8" w:space="0"/>
            </w:tcBorders>
            <w:shd w:val="clear" w:color="auto" w:fill="F9F9FB"/>
          </w:tcPr>
          <w:p w14:paraId="2C90B53B">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.000</w:t>
            </w:r>
          </w:p>
        </w:tc>
        <w:tc>
          <w:tcPr>
            <w:tcW w:w="1562" w:type="dxa"/>
            <w:tcBorders>
              <w:top w:val="single" w:color="AEAEAE" w:sz="8" w:space="0"/>
              <w:left w:val="single" w:color="E0E0E0" w:sz="8" w:space="0"/>
              <w:bottom w:val="single" w:color="AEAEAE" w:sz="8" w:space="0"/>
              <w:right w:val="single" w:color="E0E0E0" w:sz="8" w:space="0"/>
            </w:tcBorders>
            <w:shd w:val="clear" w:color="auto" w:fill="F9F9FB"/>
          </w:tcPr>
          <w:p w14:paraId="298C2419">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.003</w:t>
            </w:r>
          </w:p>
        </w:tc>
        <w:tc>
          <w:tcPr>
            <w:tcW w:w="1562" w:type="dxa"/>
            <w:tcBorders>
              <w:top w:val="single" w:color="AEAEAE" w:sz="8" w:space="0"/>
              <w:left w:val="single" w:color="E0E0E0" w:sz="8" w:space="0"/>
              <w:bottom w:val="single" w:color="AEAEAE" w:sz="8" w:space="0"/>
              <w:right w:val="nil"/>
            </w:tcBorders>
            <w:shd w:val="clear" w:color="auto" w:fill="F9F9FB"/>
          </w:tcPr>
          <w:p w14:paraId="1FE8987A">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-.002</w:t>
            </w:r>
          </w:p>
        </w:tc>
      </w:tr>
      <w:tr w14:paraId="246AB810">
        <w:tblPrEx>
          <w:tblCellMar>
            <w:top w:w="0" w:type="dxa"/>
            <w:left w:w="0" w:type="dxa"/>
            <w:bottom w:w="0" w:type="dxa"/>
            <w:right w:w="0" w:type="dxa"/>
          </w:tblCellMar>
        </w:tblPrEx>
        <w:trPr>
          <w:cantSplit/>
        </w:trPr>
        <w:tc>
          <w:tcPr>
            <w:tcW w:w="781" w:type="dxa"/>
            <w:vMerge w:val="continue"/>
            <w:tcBorders>
              <w:top w:val="single" w:color="152935" w:sz="8" w:space="0"/>
              <w:left w:val="nil"/>
              <w:bottom w:val="single" w:color="152935" w:sz="8" w:space="0"/>
              <w:right w:val="nil"/>
            </w:tcBorders>
            <w:shd w:val="clear" w:color="auto" w:fill="E0E0E0"/>
          </w:tcPr>
          <w:p w14:paraId="7E9231E0">
            <w:pPr>
              <w:autoSpaceDE w:val="0"/>
              <w:autoSpaceDN w:val="0"/>
              <w:adjustRightInd w:val="0"/>
              <w:spacing w:after="0" w:line="240" w:lineRule="auto"/>
              <w:jc w:val="both"/>
              <w:rPr>
                <w:rFonts w:hint="default" w:ascii="Times New Roman" w:hAnsi="Times New Roman" w:cs="Times New Roman"/>
                <w:color w:val="010205"/>
                <w:kern w:val="0"/>
                <w:sz w:val="24"/>
                <w:szCs w:val="24"/>
              </w:rPr>
            </w:pPr>
          </w:p>
        </w:tc>
        <w:tc>
          <w:tcPr>
            <w:tcW w:w="1323" w:type="dxa"/>
            <w:vMerge w:val="continue"/>
            <w:tcBorders>
              <w:top w:val="single" w:color="AEAEAE" w:sz="8" w:space="0"/>
              <w:left w:val="nil"/>
              <w:bottom w:val="single" w:color="152935" w:sz="8" w:space="0"/>
              <w:right w:val="nil"/>
            </w:tcBorders>
            <w:shd w:val="clear" w:color="auto" w:fill="E0E0E0"/>
          </w:tcPr>
          <w:p w14:paraId="66952E7C">
            <w:pPr>
              <w:autoSpaceDE w:val="0"/>
              <w:autoSpaceDN w:val="0"/>
              <w:adjustRightInd w:val="0"/>
              <w:spacing w:after="0" w:line="240" w:lineRule="auto"/>
              <w:jc w:val="both"/>
              <w:rPr>
                <w:rFonts w:hint="default" w:ascii="Times New Roman" w:hAnsi="Times New Roman" w:cs="Times New Roman"/>
                <w:color w:val="010205"/>
                <w:kern w:val="0"/>
                <w:sz w:val="24"/>
                <w:szCs w:val="24"/>
              </w:rPr>
            </w:pPr>
          </w:p>
        </w:tc>
        <w:tc>
          <w:tcPr>
            <w:tcW w:w="2615" w:type="dxa"/>
            <w:tcBorders>
              <w:top w:val="single" w:color="AEAEAE" w:sz="8" w:space="0"/>
              <w:left w:val="nil"/>
              <w:bottom w:val="single" w:color="152935" w:sz="8" w:space="0"/>
              <w:right w:val="nil"/>
            </w:tcBorders>
            <w:shd w:val="clear" w:color="auto" w:fill="E0E0E0"/>
          </w:tcPr>
          <w:p w14:paraId="71DEAF80">
            <w:pPr>
              <w:autoSpaceDE w:val="0"/>
              <w:autoSpaceDN w:val="0"/>
              <w:adjustRightInd w:val="0"/>
              <w:spacing w:after="0" w:line="320" w:lineRule="atLeast"/>
              <w:ind w:left="60" w:right="60"/>
              <w:jc w:val="both"/>
              <w:rPr>
                <w:rFonts w:hint="default" w:ascii="Times New Roman" w:hAnsi="Times New Roman" w:cs="Times New Roman"/>
                <w:color w:val="264A60"/>
                <w:kern w:val="0"/>
                <w:sz w:val="24"/>
                <w:szCs w:val="24"/>
              </w:rPr>
            </w:pPr>
            <w:r>
              <w:rPr>
                <w:rFonts w:hint="default" w:ascii="Times New Roman" w:hAnsi="Times New Roman" w:cs="Times New Roman"/>
                <w:color w:val="264A60"/>
                <w:kern w:val="0"/>
                <w:sz w:val="24"/>
                <w:szCs w:val="24"/>
              </w:rPr>
              <w:t>Implementation Challenges (IC)</w:t>
            </w:r>
          </w:p>
        </w:tc>
        <w:tc>
          <w:tcPr>
            <w:tcW w:w="1562" w:type="dxa"/>
            <w:tcBorders>
              <w:top w:val="single" w:color="AEAEAE" w:sz="8" w:space="0"/>
              <w:left w:val="nil"/>
              <w:bottom w:val="single" w:color="152935" w:sz="8" w:space="0"/>
              <w:right w:val="single" w:color="E0E0E0" w:sz="8" w:space="0"/>
            </w:tcBorders>
            <w:shd w:val="clear" w:color="auto" w:fill="F9F9FB"/>
          </w:tcPr>
          <w:p w14:paraId="04213678">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-.001</w:t>
            </w:r>
          </w:p>
        </w:tc>
        <w:tc>
          <w:tcPr>
            <w:tcW w:w="1562" w:type="dxa"/>
            <w:tcBorders>
              <w:top w:val="single" w:color="AEAEAE" w:sz="8" w:space="0"/>
              <w:left w:val="single" w:color="E0E0E0" w:sz="8" w:space="0"/>
              <w:bottom w:val="single" w:color="152935" w:sz="8" w:space="0"/>
              <w:right w:val="single" w:color="E0E0E0" w:sz="8" w:space="0"/>
            </w:tcBorders>
            <w:shd w:val="clear" w:color="auto" w:fill="F9F9FB"/>
          </w:tcPr>
          <w:p w14:paraId="1F16580E">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-.002</w:t>
            </w:r>
          </w:p>
        </w:tc>
        <w:tc>
          <w:tcPr>
            <w:tcW w:w="1562" w:type="dxa"/>
            <w:tcBorders>
              <w:top w:val="single" w:color="AEAEAE" w:sz="8" w:space="0"/>
              <w:left w:val="single" w:color="E0E0E0" w:sz="8" w:space="0"/>
              <w:bottom w:val="single" w:color="152935" w:sz="8" w:space="0"/>
              <w:right w:val="nil"/>
            </w:tcBorders>
            <w:shd w:val="clear" w:color="auto" w:fill="F9F9FB"/>
          </w:tcPr>
          <w:p w14:paraId="3B6B261D">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.005</w:t>
            </w:r>
          </w:p>
        </w:tc>
      </w:tr>
      <w:tr w14:paraId="5E96CE55">
        <w:tblPrEx>
          <w:tblCellMar>
            <w:top w:w="0" w:type="dxa"/>
            <w:left w:w="0" w:type="dxa"/>
            <w:bottom w:w="0" w:type="dxa"/>
            <w:right w:w="0" w:type="dxa"/>
          </w:tblCellMar>
        </w:tblPrEx>
        <w:trPr>
          <w:cantSplit/>
        </w:trPr>
        <w:tc>
          <w:tcPr>
            <w:tcW w:w="9405" w:type="dxa"/>
            <w:gridSpan w:val="6"/>
            <w:tcBorders>
              <w:top w:val="nil"/>
              <w:left w:val="nil"/>
              <w:bottom w:val="nil"/>
              <w:right w:val="nil"/>
            </w:tcBorders>
            <w:shd w:val="clear" w:color="auto" w:fill="FFFFFF"/>
          </w:tcPr>
          <w:p w14:paraId="2456C1B0">
            <w:pPr>
              <w:autoSpaceDE w:val="0"/>
              <w:autoSpaceDN w:val="0"/>
              <w:adjustRightInd w:val="0"/>
              <w:spacing w:after="0" w:line="320" w:lineRule="atLeast"/>
              <w:ind w:left="60" w:right="60"/>
              <w:jc w:val="both"/>
              <w:rPr>
                <w:rFonts w:hint="default" w:ascii="Times New Roman" w:hAnsi="Times New Roman" w:cs="Times New Roman"/>
                <w:color w:val="010205"/>
                <w:kern w:val="0"/>
                <w:sz w:val="24"/>
                <w:szCs w:val="24"/>
              </w:rPr>
            </w:pPr>
            <w:r>
              <w:rPr>
                <w:rFonts w:hint="default" w:ascii="Times New Roman" w:hAnsi="Times New Roman" w:cs="Times New Roman"/>
                <w:color w:val="010205"/>
                <w:kern w:val="0"/>
                <w:sz w:val="24"/>
                <w:szCs w:val="24"/>
              </w:rPr>
              <w:t>Dependent Variable: Institutional Preparedness (IP)</w:t>
            </w:r>
          </w:p>
        </w:tc>
      </w:tr>
    </w:tbl>
    <w:p w14:paraId="314353C5">
      <w:pPr>
        <w:spacing w:before="100" w:beforeAutospacing="1" w:after="100" w:afterAutospacing="1" w:line="240" w:lineRule="auto"/>
        <w:jc w:val="both"/>
        <w:rPr>
          <w:rFonts w:hint="default" w:ascii="Times New Roman" w:hAnsi="Times New Roman" w:eastAsia="Times New Roman" w:cs="Times New Roman"/>
          <w:kern w:val="0"/>
          <w:sz w:val="24"/>
          <w:szCs w:val="24"/>
        </w:rPr>
      </w:pPr>
    </w:p>
    <w:p w14:paraId="7B573651">
      <w:pPr>
        <w:spacing w:before="100" w:beforeAutospacing="1" w:after="100" w:afterAutospacing="1" w:line="240" w:lineRule="auto"/>
        <w:jc w:val="both"/>
        <w:rPr>
          <w:rFonts w:hint="default" w:ascii="Times New Roman" w:hAnsi="Times New Roman" w:eastAsia="Times New Roman" w:cs="Times New Roman"/>
          <w:b/>
          <w:kern w:val="0"/>
          <w:sz w:val="24"/>
          <w:szCs w:val="24"/>
        </w:rPr>
      </w:pPr>
      <w:r>
        <w:rPr>
          <w:rFonts w:hint="default" w:ascii="Times New Roman" w:hAnsi="Times New Roman" w:eastAsia="Times New Roman" w:cs="Times New Roman"/>
          <w:b/>
          <w:kern w:val="0"/>
          <w:sz w:val="24"/>
          <w:szCs w:val="24"/>
        </w:rPr>
        <w:drawing>
          <wp:inline distT="0" distB="0" distL="0" distR="0">
            <wp:extent cx="4572000" cy="2743200"/>
            <wp:effectExtent l="4445" t="4445" r="8255" b="8255"/>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CB17111">
      <w:pPr>
        <w:spacing w:before="100" w:beforeAutospacing="1" w:after="100" w:afterAutospacing="1" w:line="240" w:lineRule="auto"/>
        <w:jc w:val="center"/>
        <w:rPr>
          <w:rFonts w:hint="default" w:ascii="Times New Roman" w:hAnsi="Times New Roman" w:eastAsia="Times New Roman" w:cs="Times New Roman"/>
          <w:b/>
          <w:kern w:val="0"/>
          <w:sz w:val="24"/>
          <w:szCs w:val="24"/>
        </w:rPr>
      </w:pPr>
      <w:r>
        <w:rPr>
          <w:rFonts w:hint="default" w:ascii="Sans Serif Collection" w:hAnsi="Sans Serif Collection" w:eastAsia="Times New Roman" w:cs="Sans Serif Collection"/>
          <w:b/>
          <w:kern w:val="0"/>
          <w:sz w:val="24"/>
          <w:szCs w:val="24"/>
        </w:rPr>
        <w:t xml:space="preserve">Fig. </w:t>
      </w:r>
      <w:r>
        <w:rPr>
          <w:rFonts w:hint="default" w:ascii="Sans Serif Collection" w:hAnsi="Sans Serif Collection" w:eastAsia="Times New Roman" w:cs="Sans Serif Collection"/>
          <w:b/>
          <w:kern w:val="0"/>
          <w:sz w:val="24"/>
          <w:szCs w:val="24"/>
          <w:lang w:val="en-US"/>
        </w:rPr>
        <w:t>4</w:t>
      </w:r>
      <w:r>
        <w:rPr>
          <w:rFonts w:hint="default" w:ascii="Sans Serif Collection" w:hAnsi="Sans Serif Collection" w:eastAsia="Times New Roman" w:cs="Sans Serif Collection"/>
          <w:b/>
          <w:kern w:val="0"/>
          <w:sz w:val="24"/>
          <w:szCs w:val="24"/>
        </w:rPr>
        <w:t xml:space="preserve"> – Bar chart of all the variables</w:t>
      </w:r>
    </w:p>
    <w:p w14:paraId="621CCB0B">
      <w:pPr>
        <w:spacing w:before="100" w:beforeAutospacing="1" w:after="100" w:afterAutospacing="1" w:line="240" w:lineRule="auto"/>
        <w:jc w:val="both"/>
        <w:rPr>
          <w:rFonts w:hint="default" w:ascii="Times New Roman" w:hAnsi="Times New Roman" w:eastAsia="Times New Roman" w:cs="Times New Roman"/>
          <w:b/>
          <w:kern w:val="0"/>
          <w:sz w:val="24"/>
          <w:szCs w:val="24"/>
        </w:rPr>
      </w:pPr>
      <w:r>
        <w:rPr>
          <w:rFonts w:hint="default" w:ascii="Times New Roman" w:hAnsi="Times New Roman" w:eastAsia="Times New Roman" w:cs="Times New Roman"/>
          <w:b/>
          <w:kern w:val="0"/>
          <w:sz w:val="24"/>
          <w:szCs w:val="24"/>
        </w:rPr>
        <w:drawing>
          <wp:inline distT="0" distB="0" distL="0" distR="0">
            <wp:extent cx="5943600" cy="2480945"/>
            <wp:effectExtent l="4445" t="4445" r="8255" b="1651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A17E11F">
      <w:pPr>
        <w:spacing w:before="100" w:beforeAutospacing="1" w:after="100" w:afterAutospacing="1" w:line="240" w:lineRule="auto"/>
        <w:jc w:val="center"/>
        <w:rPr>
          <w:rFonts w:hint="default" w:ascii="Sans Serif Collection" w:hAnsi="Sans Serif Collection" w:eastAsia="Times New Roman" w:cs="Sans Serif Collection"/>
          <w:b/>
          <w:kern w:val="0"/>
          <w:sz w:val="24"/>
          <w:szCs w:val="24"/>
        </w:rPr>
      </w:pPr>
      <w:r>
        <w:rPr>
          <w:rFonts w:hint="default" w:ascii="Sans Serif Collection" w:hAnsi="Sans Serif Collection" w:eastAsia="Times New Roman" w:cs="Sans Serif Collection"/>
          <w:b/>
          <w:kern w:val="0"/>
          <w:sz w:val="24"/>
          <w:szCs w:val="24"/>
        </w:rPr>
        <w:t xml:space="preserve">Fig. </w:t>
      </w:r>
      <w:r>
        <w:rPr>
          <w:rFonts w:hint="default" w:ascii="Sans Serif Collection" w:hAnsi="Sans Serif Collection" w:eastAsia="Times New Roman" w:cs="Sans Serif Collection"/>
          <w:b/>
          <w:kern w:val="0"/>
          <w:sz w:val="24"/>
          <w:szCs w:val="24"/>
          <w:lang w:val="en-US"/>
        </w:rPr>
        <w:t>5</w:t>
      </w:r>
      <w:r>
        <w:rPr>
          <w:rFonts w:hint="default" w:ascii="Sans Serif Collection" w:hAnsi="Sans Serif Collection" w:eastAsia="Times New Roman" w:cs="Sans Serif Collection"/>
          <w:b/>
          <w:kern w:val="0"/>
          <w:sz w:val="24"/>
          <w:szCs w:val="24"/>
        </w:rPr>
        <w:t xml:space="preserve"> Graph showing trend lines and equations</w:t>
      </w:r>
    </w:p>
    <w:p w14:paraId="334BA067">
      <w:pPr>
        <w:jc w:val="both"/>
        <w:rPr>
          <w:rFonts w:hint="default" w:ascii="Times New Roman" w:hAnsi="Times New Roman" w:cs="Times New Roman"/>
          <w:sz w:val="24"/>
          <w:szCs w:val="24"/>
        </w:rPr>
      </w:pPr>
      <w:r>
        <w:rPr>
          <w:rFonts w:hint="default" w:ascii="Times New Roman" w:hAnsi="Times New Roman" w:cs="Times New Roman"/>
          <w:b/>
          <w:sz w:val="24"/>
          <w:szCs w:val="24"/>
        </w:rPr>
        <w:t>Interpretation of Data Analysis</w:t>
      </w:r>
    </w:p>
    <w:p w14:paraId="385F9E2B">
      <w:pPr>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This section details the findings from a mixed-methods study on the readiness of TVET educators for Industry 4.0 in Nigeria. The analysis is structured in two phases: qualitative and quantitative.</w:t>
      </w:r>
    </w:p>
    <w:p w14:paraId="23A7D180">
      <w:pPr>
        <w:spacing w:line="36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Qualitative Analysis</w:t>
      </w:r>
    </w:p>
    <w:p w14:paraId="45C22A44">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cs="Times New Roman"/>
          <w:sz w:val="24"/>
          <w:szCs w:val="24"/>
        </w:rPr>
        <w:t xml:space="preserve">The qualitative phase used semi-structured interviews with 24 participants (12 educators and 12 administrators) from polytechnics, technical colleges, and colleges of education in Nigeria's South-South region. The data was analyzed using thematic analysis, a six-step model developed by Braun and Clarke (2006). Thematic analysis involved familiarizing with the data, generating codes, searching for themes, reviewing themes, defining and naming them, and producing a report. </w:t>
      </w:r>
      <w:r>
        <w:rPr>
          <w:rFonts w:hint="default" w:ascii="Times New Roman" w:hAnsi="Times New Roman" w:eastAsia="Times New Roman" w:cs="Times New Roman"/>
          <w:kern w:val="0"/>
          <w:sz w:val="24"/>
          <w:szCs w:val="24"/>
        </w:rPr>
        <w:t>The qualitative findings revealed deep insight into the challenges, gaps, and opportunities for Industry 4.0 integration in TVET institutions across the South-South region of Nigeria. The emerging themes are interpreted in light of the research objectives, drawing connections between participant voices and broader institutional realities.</w:t>
      </w:r>
    </w:p>
    <w:p w14:paraId="6250244D">
      <w:pPr>
        <w:spacing w:before="100" w:beforeAutospacing="1" w:after="100" w:afterAutospacing="1" w:line="360" w:lineRule="auto"/>
        <w:jc w:val="both"/>
        <w:outlineLvl w:val="2"/>
        <w:rPr>
          <w:rFonts w:hint="default" w:ascii="Times New Roman" w:hAnsi="Times New Roman" w:eastAsia="Times New Roman" w:cs="Times New Roman"/>
          <w:b/>
          <w:bCs/>
          <w:kern w:val="0"/>
          <w:sz w:val="24"/>
          <w:szCs w:val="24"/>
        </w:rPr>
      </w:pPr>
      <w:r>
        <w:rPr>
          <w:rFonts w:hint="default" w:ascii="Times New Roman" w:hAnsi="Times New Roman" w:eastAsia="Times New Roman" w:cs="Times New Roman"/>
          <w:b/>
          <w:bCs/>
          <w:kern w:val="0"/>
          <w:sz w:val="24"/>
          <w:szCs w:val="24"/>
        </w:rPr>
        <w:t>Theme 1: Competencies Required for Industry 4.0 Integration</w:t>
      </w:r>
    </w:p>
    <w:p w14:paraId="6BCC3053">
      <w:pPr>
        <w:spacing w:before="100" w:beforeAutospacing="1" w:after="100" w:afterAutospacing="1" w:line="360" w:lineRule="auto"/>
        <w:ind w:firstLine="480" w:firstLineChars="200"/>
        <w:jc w:val="both"/>
        <w:outlineLvl w:val="2"/>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The participants recognized a significant shift in the nature of technical skills demanded in today’s industry. They highlighted automation, robotics, and AI as critical competencies currently missing in both curriculum and teaching practice. This indicates a misalignment between training content and modern labor market requirements, underscoring the urgency for curriculum reform and educator re-skilling. This further demonstrates the awareness of advanced skills among respondents, which reflects a latent readiness for innovation. However, the gap between what is needed and what is taught remains wide, necessitating targeted upskilling interventions.</w:t>
      </w:r>
    </w:p>
    <w:p w14:paraId="79EA3812">
      <w:pPr>
        <w:spacing w:before="100" w:beforeAutospacing="1" w:after="100" w:afterAutospacing="1" w:line="360" w:lineRule="auto"/>
        <w:jc w:val="both"/>
        <w:outlineLvl w:val="2"/>
        <w:rPr>
          <w:rFonts w:hint="default" w:ascii="Times New Roman" w:hAnsi="Times New Roman" w:eastAsia="Times New Roman" w:cs="Times New Roman"/>
          <w:b/>
          <w:bCs/>
          <w:kern w:val="0"/>
          <w:sz w:val="24"/>
          <w:szCs w:val="24"/>
        </w:rPr>
      </w:pPr>
      <w:r>
        <w:rPr>
          <w:rFonts w:hint="default" w:ascii="Times New Roman" w:hAnsi="Times New Roman" w:eastAsia="Times New Roman" w:cs="Times New Roman"/>
          <w:b/>
          <w:bCs/>
          <w:kern w:val="0"/>
          <w:sz w:val="24"/>
          <w:szCs w:val="24"/>
        </w:rPr>
        <w:t>Theme 2: Existing Competency Levels among Educators</w:t>
      </w:r>
    </w:p>
    <w:p w14:paraId="5D1EED3C">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The interviews exposed critical gaps in educator competencies. Many participants admitted their own limitations with digital tools and smart systems, suggesting that most current TVET teachers lack both training and confidence in modern technological applications. This theme suggests that while there is motivation to improve, educators are currently under-equipped to deliver relevant Industry 4.0 content. The finding points to the need for comprehensive staff development programs that are practically oriented.</w:t>
      </w:r>
    </w:p>
    <w:p w14:paraId="373BD971">
      <w:pPr>
        <w:spacing w:before="100" w:beforeAutospacing="1" w:after="100" w:afterAutospacing="1" w:line="360" w:lineRule="auto"/>
        <w:jc w:val="both"/>
        <w:outlineLvl w:val="2"/>
        <w:rPr>
          <w:rFonts w:hint="default" w:ascii="Times New Roman" w:hAnsi="Times New Roman" w:eastAsia="Times New Roman" w:cs="Times New Roman"/>
          <w:b/>
          <w:bCs/>
          <w:kern w:val="0"/>
          <w:sz w:val="24"/>
          <w:szCs w:val="24"/>
        </w:rPr>
      </w:pPr>
      <w:r>
        <w:rPr>
          <w:rFonts w:hint="default" w:ascii="Times New Roman" w:hAnsi="Times New Roman" w:eastAsia="Times New Roman" w:cs="Times New Roman"/>
          <w:b/>
          <w:bCs/>
          <w:kern w:val="0"/>
          <w:sz w:val="24"/>
          <w:szCs w:val="24"/>
        </w:rPr>
        <w:t>Theme 3: Institutional and Infrastructural Barriers</w:t>
      </w:r>
    </w:p>
    <w:p w14:paraId="04A6599F">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Nearly all respondents cited poor infrastructure, obsolete training equipment, unreliable electricity, and lack of internet access as major deterrents to digital learning and simulation practices. These conditions contribute to a digital divide between schools and the industries they seek to serve. The infrastructural gap reinforces systemic inequities that limit access to quality technical education. Without deliberate investment, efforts to modernize TVET systems will likely fail or remain symbolic.</w:t>
      </w:r>
    </w:p>
    <w:p w14:paraId="0BECF05A">
      <w:pPr>
        <w:spacing w:before="100" w:beforeAutospacing="1" w:after="100" w:afterAutospacing="1" w:line="360" w:lineRule="auto"/>
        <w:jc w:val="both"/>
        <w:outlineLvl w:val="2"/>
        <w:rPr>
          <w:rFonts w:hint="default" w:ascii="Times New Roman" w:hAnsi="Times New Roman" w:eastAsia="Times New Roman" w:cs="Times New Roman"/>
          <w:b/>
          <w:bCs/>
          <w:kern w:val="0"/>
          <w:sz w:val="24"/>
          <w:szCs w:val="24"/>
        </w:rPr>
      </w:pPr>
      <w:r>
        <w:rPr>
          <w:rFonts w:hint="default" w:ascii="Times New Roman" w:hAnsi="Times New Roman" w:eastAsia="Times New Roman" w:cs="Times New Roman"/>
          <w:b/>
          <w:bCs/>
          <w:kern w:val="0"/>
          <w:sz w:val="24"/>
          <w:szCs w:val="24"/>
        </w:rPr>
        <w:t>Theme 4: Professional Development Needs</w:t>
      </w:r>
    </w:p>
    <w:p w14:paraId="4E3D5093">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Educators and administrators expressed a strong desire for workshops, industry attachments, and collaborative partnerships with technology providers. The consensus was that current professional development approaches are irregular, poorly funded, and insufficiently aligned with industrial realities. Thus, the strong appetite for continuous learning presents an opportunity for government, private sector, and donor-funded initiatives to build educator capacity through innovative, blended development programs.</w:t>
      </w:r>
    </w:p>
    <w:p w14:paraId="1FC9F829">
      <w:pPr>
        <w:spacing w:before="100" w:beforeAutospacing="1" w:after="100" w:afterAutospacing="1" w:line="360" w:lineRule="auto"/>
        <w:jc w:val="both"/>
        <w:outlineLvl w:val="2"/>
        <w:rPr>
          <w:rFonts w:hint="default" w:ascii="Times New Roman" w:hAnsi="Times New Roman" w:eastAsia="Times New Roman" w:cs="Times New Roman"/>
          <w:b/>
          <w:bCs/>
          <w:kern w:val="0"/>
          <w:sz w:val="24"/>
          <w:szCs w:val="24"/>
        </w:rPr>
      </w:pPr>
      <w:r>
        <w:rPr>
          <w:rFonts w:hint="default" w:ascii="Times New Roman" w:hAnsi="Times New Roman" w:eastAsia="Times New Roman" w:cs="Times New Roman"/>
          <w:b/>
          <w:bCs/>
          <w:kern w:val="0"/>
          <w:sz w:val="24"/>
          <w:szCs w:val="24"/>
        </w:rPr>
        <w:t xml:space="preserve">Theme 5: </w:t>
      </w:r>
      <w:r>
        <w:rPr>
          <w:rFonts w:hint="default" w:ascii="Times New Roman" w:hAnsi="Times New Roman" w:eastAsia="SimSun" w:cs="Times New Roman"/>
          <w:b/>
          <w:bCs/>
          <w:sz w:val="24"/>
          <w:szCs w:val="24"/>
        </w:rPr>
        <w:t>Psychological Barriers (The Sense of Being Lost)</w:t>
      </w:r>
    </w:p>
    <w:p w14:paraId="7589B224">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There was a shared concern that graduates, though certified, were not adequately prepared to handle modern production systems. Participants noted that the lack of Industry 4.0 training leads to job rejections and undermines institutional credibility. Therefore, the employability gap is a consequence of both curriculum lag and educator limitations. Unless educators are trained and learning environments transformed, graduates will remain uncompetitive in a rapidly evolving labor market.</w:t>
      </w:r>
    </w:p>
    <w:p w14:paraId="653A158B">
      <w:pPr>
        <w:spacing w:before="100" w:beforeAutospacing="1" w:after="100" w:afterAutospacing="1" w:line="360" w:lineRule="auto"/>
        <w:jc w:val="both"/>
        <w:outlineLvl w:val="2"/>
        <w:rPr>
          <w:rFonts w:hint="default" w:ascii="Times New Roman" w:hAnsi="Times New Roman" w:eastAsia="Times New Roman" w:cs="Times New Roman"/>
          <w:b/>
          <w:bCs/>
          <w:kern w:val="0"/>
          <w:sz w:val="24"/>
          <w:szCs w:val="24"/>
        </w:rPr>
      </w:pPr>
      <w:r>
        <w:rPr>
          <w:rFonts w:hint="default" w:ascii="Times New Roman" w:hAnsi="Times New Roman" w:eastAsia="Times New Roman" w:cs="Times New Roman"/>
          <w:b/>
          <w:bCs/>
          <w:kern w:val="0"/>
          <w:sz w:val="24"/>
          <w:szCs w:val="24"/>
        </w:rPr>
        <w:t>Theme 6: Strategic Frameworks and Policy Suggestions</w:t>
      </w:r>
    </w:p>
    <w:p w14:paraId="4A41924C">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Participants called for policy reforms that prioritize smart education, industry collaboration, and infrastructure investment. There were also suggestions for digital innovation hubs within institutions and industry-based assessment of students. This is a reflection of strategic thinking among stakeholders. It suggests that educators and administrators are not only aware of the gaps but also capable of contributing meaningfully to reform processes when engaged in policy dialogue.</w:t>
      </w:r>
    </w:p>
    <w:p w14:paraId="67D1EF89">
      <w:pPr>
        <w:spacing w:before="100" w:beforeAutospacing="1" w:after="100" w:afterAutospacing="1" w:line="360" w:lineRule="auto"/>
        <w:jc w:val="both"/>
        <w:outlineLvl w:val="2"/>
        <w:rPr>
          <w:rFonts w:hint="default" w:ascii="Times New Roman" w:hAnsi="Times New Roman" w:eastAsia="Times New Roman" w:cs="Times New Roman"/>
          <w:b/>
          <w:bCs/>
          <w:kern w:val="0"/>
          <w:sz w:val="24"/>
          <w:szCs w:val="24"/>
        </w:rPr>
      </w:pPr>
      <w:r>
        <w:rPr>
          <w:rFonts w:hint="default" w:ascii="Times New Roman" w:hAnsi="Times New Roman" w:eastAsia="Times New Roman" w:cs="Times New Roman"/>
          <w:b/>
          <w:bCs/>
          <w:kern w:val="0"/>
          <w:sz w:val="24"/>
          <w:szCs w:val="24"/>
        </w:rPr>
        <w:t>Summary</w:t>
      </w:r>
    </w:p>
    <w:p w14:paraId="3310C82A">
      <w:pPr>
        <w:spacing w:before="100" w:beforeAutospacing="1" w:after="100" w:afterAutospacing="1" w:line="360" w:lineRule="auto"/>
        <w:ind w:firstLine="480" w:firstLineChars="20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The qualitative findings emphasize the interconnectedness of curriculum, infrastructure, educator competence, and policy. They form a critical basis for the development of a responsive, modernized TVET system capable of producing a digitally competent workforce.</w:t>
      </w:r>
    </w:p>
    <w:p w14:paraId="016819EE">
      <w:pPr>
        <w:spacing w:line="36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Quantitative Analysis Interpretation</w:t>
      </w:r>
    </w:p>
    <w:p w14:paraId="15C68721">
      <w:pPr>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The quantitative phase used a structured questionnaire developed from the themes of the qualitative phase. The data was analyzed using descriptive and inferential statistics, including frequencies, means, standard deviations, and regression analysis. The analysis focused on the relationships between key variables: Institutional Preparedness (IP), Institutional Outcomes (IO), Administrative Practices (AP), and Implementation Challenges (IC).</w:t>
      </w:r>
    </w:p>
    <w:p w14:paraId="125F7AB2">
      <w:pPr>
        <w:spacing w:line="360" w:lineRule="auto"/>
        <w:jc w:val="both"/>
        <w:rPr>
          <w:rFonts w:hint="default" w:ascii="Times New Roman" w:hAnsi="Times New Roman" w:cs="Times New Roman"/>
          <w:sz w:val="24"/>
          <w:szCs w:val="24"/>
        </w:rPr>
      </w:pPr>
      <w:r>
        <w:rPr>
          <w:rFonts w:hint="default" w:ascii="Times New Roman" w:hAnsi="Times New Roman" w:cs="Times New Roman"/>
          <w:b/>
          <w:sz w:val="24"/>
          <w:szCs w:val="24"/>
        </w:rPr>
        <w:t xml:space="preserve"> Model Summary</w:t>
      </w:r>
      <w:r>
        <w:rPr>
          <w:rFonts w:hint="default" w:ascii="Times New Roman" w:hAnsi="Times New Roman" w:cs="Times New Roman"/>
          <w:sz w:val="24"/>
          <w:szCs w:val="24"/>
        </w:rPr>
        <w:t xml:space="preserve"> (Table </w:t>
      </w:r>
      <w:r>
        <w:rPr>
          <w:rFonts w:hint="default" w:ascii="Times New Roman" w:hAnsi="Times New Roman" w:cs="Times New Roman"/>
          <w:sz w:val="24"/>
          <w:szCs w:val="24"/>
          <w:lang w:val="en-US"/>
        </w:rPr>
        <w:t>3</w:t>
      </w:r>
      <w:r>
        <w:rPr>
          <w:rFonts w:hint="default" w:ascii="Times New Roman" w:hAnsi="Times New Roman" w:cs="Times New Roman"/>
          <w:sz w:val="24"/>
          <w:szCs w:val="24"/>
        </w:rPr>
        <w:t>): The model shows a strong positive correlation (R = 0.902) between the predictors (Institutional Outcomes, Administrative Practices, and Implementation Challenges) and the dependent variable, Institutional Preparedness. The R-squared value of 0.814 indicates that these three variables explain 81.4% of the variance in Institutional Preparedness. The high R-squared change and significant F change (p &lt; .001) confirm that the model is a strong fit for the data.</w:t>
      </w:r>
    </w:p>
    <w:p w14:paraId="00289DBC">
      <w:pPr>
        <w:spacing w:line="360" w:lineRule="auto"/>
        <w:jc w:val="both"/>
        <w:rPr>
          <w:rFonts w:hint="default" w:ascii="Times New Roman" w:hAnsi="Times New Roman" w:cs="Times New Roman"/>
          <w:sz w:val="24"/>
          <w:szCs w:val="24"/>
        </w:rPr>
      </w:pPr>
      <w:r>
        <w:rPr>
          <w:rFonts w:hint="default" w:ascii="Times New Roman" w:hAnsi="Times New Roman" w:cs="Times New Roman"/>
          <w:b/>
          <w:sz w:val="24"/>
          <w:szCs w:val="24"/>
        </w:rPr>
        <w:t xml:space="preserve"> ANOVA</w:t>
      </w:r>
      <w:r>
        <w:rPr>
          <w:rFonts w:hint="default" w:ascii="Times New Roman" w:hAnsi="Times New Roman" w:cs="Times New Roman"/>
          <w:sz w:val="24"/>
          <w:szCs w:val="24"/>
        </w:rPr>
        <w:t xml:space="preserve"> (Table </w:t>
      </w:r>
      <w:r>
        <w:rPr>
          <w:rFonts w:hint="default" w:ascii="Times New Roman" w:hAnsi="Times New Roman" w:cs="Times New Roman"/>
          <w:sz w:val="24"/>
          <w:szCs w:val="24"/>
          <w:lang w:val="en-US"/>
        </w:rPr>
        <w:t>4</w:t>
      </w:r>
      <w:r>
        <w:rPr>
          <w:rFonts w:hint="default" w:ascii="Times New Roman" w:hAnsi="Times New Roman" w:cs="Times New Roman"/>
          <w:sz w:val="24"/>
          <w:szCs w:val="24"/>
        </w:rPr>
        <w:t>): The ANOVA table indicates that the regression model is statistically significant (F(3, 146) = 213.579, p &lt; .001). This confirms that the predictor variables as a group have a significant impact on Institutional Preparedness.</w:t>
      </w:r>
    </w:p>
    <w:p w14:paraId="1904A5D8">
      <w:pPr>
        <w:spacing w:line="360" w:lineRule="auto"/>
        <w:jc w:val="both"/>
        <w:rPr>
          <w:rFonts w:hint="default" w:ascii="Times New Roman" w:hAnsi="Times New Roman" w:cs="Times New Roman"/>
          <w:sz w:val="24"/>
          <w:szCs w:val="24"/>
        </w:rPr>
      </w:pPr>
      <w:r>
        <w:rPr>
          <w:rFonts w:hint="default" w:ascii="Times New Roman" w:hAnsi="Times New Roman" w:cs="Times New Roman"/>
          <w:b/>
          <w:sz w:val="24"/>
          <w:szCs w:val="24"/>
        </w:rPr>
        <w:t xml:space="preserve"> Coefficients</w:t>
      </w:r>
      <w:r>
        <w:rPr>
          <w:rFonts w:hint="default" w:ascii="Times New Roman" w:hAnsi="Times New Roman" w:cs="Times New Roman"/>
          <w:sz w:val="24"/>
          <w:szCs w:val="24"/>
        </w:rPr>
        <w:t xml:space="preserve"> (Table </w:t>
      </w:r>
      <w:r>
        <w:rPr>
          <w:rFonts w:hint="default" w:ascii="Times New Roman" w:hAnsi="Times New Roman" w:cs="Times New Roman"/>
          <w:sz w:val="24"/>
          <w:szCs w:val="24"/>
          <w:lang w:val="en-US"/>
        </w:rPr>
        <w:t>6</w:t>
      </w:r>
      <w:r>
        <w:rPr>
          <w:rFonts w:hint="default" w:ascii="Times New Roman" w:hAnsi="Times New Roman" w:cs="Times New Roman"/>
          <w:sz w:val="24"/>
          <w:szCs w:val="24"/>
        </w:rPr>
        <w:t>): This table provides a detailed look at the individual impact of each predictor on Institutional Preparedness.</w:t>
      </w:r>
    </w:p>
    <w:p w14:paraId="055EEC28">
      <w:pPr>
        <w:spacing w:line="360" w:lineRule="auto"/>
        <w:jc w:val="both"/>
        <w:rPr>
          <w:rFonts w:hint="default" w:ascii="Times New Roman" w:hAnsi="Times New Roman" w:cs="Times New Roman"/>
          <w:sz w:val="24"/>
          <w:szCs w:val="24"/>
        </w:rPr>
      </w:pPr>
      <w:r>
        <w:rPr>
          <w:rFonts w:hint="default" w:ascii="Times New Roman" w:hAnsi="Times New Roman" w:cs="Times New Roman"/>
          <w:b/>
          <w:sz w:val="24"/>
          <w:szCs w:val="24"/>
        </w:rPr>
        <w:t xml:space="preserve">   Administrative Practices</w:t>
      </w:r>
      <w:r>
        <w:rPr>
          <w:rFonts w:hint="default" w:ascii="Times New Roman" w:hAnsi="Times New Roman" w:cs="Times New Roman"/>
          <w:sz w:val="24"/>
          <w:szCs w:val="24"/>
        </w:rPr>
        <w:t xml:space="preserve"> (AP) showed the strongest influence (beta = .405), followed by Institutional Outcomes (IO) (beta = .372) and Implementation Challenges (IC) (beta = .252).</w:t>
      </w:r>
    </w:p>
    <w:p w14:paraId="01DBDD03">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All three variables had a statistically significant impact on Institutional Preparedness (p &lt; .001).</w:t>
      </w:r>
    </w:p>
    <w:p w14:paraId="38411B7A">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This suggests that improving administrative practices and institutional outcomes, and addressing implementation challenges, are all critical to enhancing institutional preparedness for Industry 4.0.</w:t>
      </w:r>
    </w:p>
    <w:p w14:paraId="42E68430">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Relationship Map (Fig. </w:t>
      </w:r>
      <w:r>
        <w:rPr>
          <w:rFonts w:hint="default" w:ascii="Times New Roman" w:hAnsi="Times New Roman" w:cs="Times New Roman"/>
          <w:sz w:val="24"/>
          <w:szCs w:val="24"/>
          <w:lang w:val="en-US"/>
        </w:rPr>
        <w:t>3</w:t>
      </w:r>
      <w:r>
        <w:rPr>
          <w:rFonts w:hint="default" w:ascii="Times New Roman" w:hAnsi="Times New Roman" w:cs="Times New Roman"/>
          <w:sz w:val="24"/>
          <w:szCs w:val="24"/>
        </w:rPr>
        <w:t xml:space="preserve">) and Coefficient Correlations (Table </w:t>
      </w:r>
      <w:r>
        <w:rPr>
          <w:rFonts w:hint="default" w:ascii="Times New Roman" w:hAnsi="Times New Roman" w:cs="Times New Roman"/>
          <w:sz w:val="24"/>
          <w:szCs w:val="24"/>
          <w:lang w:val="en-US"/>
        </w:rPr>
        <w:t>6</w:t>
      </w:r>
      <w:r>
        <w:rPr>
          <w:rFonts w:hint="default" w:ascii="Times New Roman" w:hAnsi="Times New Roman" w:cs="Times New Roman"/>
          <w:sz w:val="24"/>
          <w:szCs w:val="24"/>
        </w:rPr>
        <w:t>): The relationship map visually represents the connections between the variables. The coefficient correlations further show the relationships, for instance, a negative correlation between Administrative Practices and Implementation Challenges (r = -.586). This suggests that as administrative practices improve, the challenges of implementation tend to decrease.</w:t>
      </w:r>
    </w:p>
    <w:p w14:paraId="1AA7F5EE">
      <w:pPr>
        <w:spacing w:line="36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Summary</w:t>
      </w:r>
    </w:p>
    <w:p w14:paraId="3F19E90B">
      <w:pPr>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The integration of the qualitative and quantitative findings provided a comprehensive understanding. While the qualitative data offered in-depth insights into the "why" and "how" of the challenges, the quantitative data provided statistical validation and confirmed the strength of the relationships between the key factors.</w:t>
      </w:r>
    </w:p>
    <w:p w14:paraId="5B22D680">
      <w:pPr>
        <w:pStyle w:val="3"/>
        <w:keepNext w:val="0"/>
        <w:keepLines w:val="0"/>
        <w:widowControl/>
        <w:suppressLineNumbers w:val="0"/>
        <w:spacing w:before="0" w:beforeAutospacing="0" w:line="360" w:lineRule="auto"/>
        <w:jc w:val="both"/>
        <w:rPr>
          <w:rFonts w:hint="default" w:ascii="Times New Roman" w:hAnsi="Times New Roman" w:eastAsia="sans-serif" w:cs="Times New Roman"/>
          <w:sz w:val="24"/>
          <w:szCs w:val="24"/>
        </w:rPr>
      </w:pPr>
      <w:r>
        <w:rPr>
          <w:rFonts w:hint="default" w:ascii="Times New Roman" w:hAnsi="Times New Roman" w:eastAsia="sans-serif" w:cs="Times New Roman"/>
          <w:b/>
          <w:bCs/>
          <w:sz w:val="24"/>
          <w:szCs w:val="24"/>
        </w:rPr>
        <w:t>DISCUSSION OF FINDINGS</w:t>
      </w:r>
    </w:p>
    <w:p w14:paraId="60133A04">
      <w:pPr>
        <w:pStyle w:val="9"/>
        <w:keepNext w:val="0"/>
        <w:keepLines w:val="0"/>
        <w:widowControl/>
        <w:suppressLineNumbers w:val="0"/>
        <w:spacing w:before="0" w:beforeAutospacing="0" w:line="360" w:lineRule="auto"/>
        <w:ind w:firstLine="480" w:firstLineChars="200"/>
        <w:jc w:val="both"/>
        <w:rPr>
          <w:rFonts w:hint="default" w:ascii="Times New Roman" w:hAnsi="Times New Roman" w:eastAsia="sans-serif" w:cs="Times New Roman"/>
          <w:sz w:val="24"/>
          <w:szCs w:val="24"/>
        </w:rPr>
      </w:pPr>
      <w:r>
        <w:rPr>
          <w:rFonts w:hint="default" w:ascii="Times New Roman" w:hAnsi="Times New Roman" w:eastAsia="sans-serif" w:cs="Times New Roman"/>
          <w:sz w:val="24"/>
          <w:szCs w:val="24"/>
        </w:rPr>
        <w:t>The findings of this study provide a critical empirical lens into the "technological dichotomy" currently paralyzing the Nigerian TVET sector. By synthesizing the qualitative narratives of educators with robust quantitative predictors, a clear picture emerges: the transition to Industry 4.0 is less a hardware problem and more a systemic leadership challenge.</w:t>
      </w:r>
    </w:p>
    <w:p w14:paraId="7BF2CC09">
      <w:pPr>
        <w:pStyle w:val="4"/>
        <w:keepNext w:val="0"/>
        <w:keepLines w:val="0"/>
        <w:widowControl/>
        <w:suppressLineNumbers w:val="0"/>
        <w:spacing w:before="0" w:beforeAutospacing="0" w:line="360" w:lineRule="auto"/>
        <w:jc w:val="both"/>
        <w:rPr>
          <w:rFonts w:hint="default" w:ascii="Times New Roman" w:hAnsi="Times New Roman" w:eastAsia="sans-serif" w:cs="Times New Roman"/>
          <w:sz w:val="24"/>
          <w:szCs w:val="24"/>
        </w:rPr>
      </w:pPr>
      <w:r>
        <w:rPr>
          <w:rFonts w:hint="default" w:ascii="Times New Roman" w:hAnsi="Times New Roman" w:eastAsia="sans-serif" w:cs="Times New Roman"/>
          <w:b/>
          <w:bCs/>
          <w:sz w:val="24"/>
          <w:szCs w:val="24"/>
        </w:rPr>
        <w:t>The Primacy of Administrative Agility over Infrastructure</w:t>
      </w:r>
    </w:p>
    <w:p w14:paraId="5F9B0E7C">
      <w:pPr>
        <w:pStyle w:val="9"/>
        <w:keepNext w:val="0"/>
        <w:keepLines w:val="0"/>
        <w:widowControl/>
        <w:suppressLineNumbers w:val="0"/>
        <w:spacing w:before="0" w:beforeAutospacing="0" w:line="360" w:lineRule="auto"/>
        <w:ind w:firstLine="480" w:firstLineChars="200"/>
        <w:jc w:val="both"/>
        <w:rPr>
          <w:rFonts w:hint="default" w:ascii="Times New Roman" w:hAnsi="Times New Roman" w:eastAsia="sans-serif" w:cs="Times New Roman"/>
          <w:sz w:val="24"/>
          <w:szCs w:val="24"/>
        </w:rPr>
      </w:pPr>
      <w:r>
        <w:rPr>
          <w:rFonts w:hint="default" w:ascii="Times New Roman" w:hAnsi="Times New Roman" w:eastAsia="sans-serif" w:cs="Times New Roman"/>
          <w:sz w:val="24"/>
          <w:szCs w:val="24"/>
        </w:rPr>
        <w:t xml:space="preserve">A landmark finding of this research is the statistical dominance of </w:t>
      </w:r>
      <w:r>
        <w:rPr>
          <w:rFonts w:hint="default" w:ascii="Times New Roman" w:hAnsi="Times New Roman" w:eastAsia="sans-serif" w:cs="Times New Roman"/>
          <w:b/>
          <w:bCs/>
          <w:sz w:val="24"/>
          <w:szCs w:val="24"/>
        </w:rPr>
        <w:t>Administrative Practices (beta = .405)</w:t>
      </w:r>
      <w:r>
        <w:rPr>
          <w:rFonts w:hint="default" w:ascii="Times New Roman" w:hAnsi="Times New Roman" w:eastAsia="sans-serif" w:cs="Times New Roman"/>
          <w:sz w:val="24"/>
          <w:szCs w:val="24"/>
        </w:rPr>
        <w:t xml:space="preserve"> as the primary predictor of institutional preparedness. This quantitative result provides a direct answer to the qualitative theme of </w:t>
      </w:r>
      <w:r>
        <w:rPr>
          <w:rFonts w:hint="default" w:ascii="Times New Roman" w:hAnsi="Times New Roman" w:eastAsia="sans-serif" w:cs="Times New Roman"/>
          <w:b/>
          <w:bCs/>
          <w:sz w:val="24"/>
          <w:szCs w:val="24"/>
        </w:rPr>
        <w:t>"Administrative Inertia."</w:t>
      </w:r>
      <w:r>
        <w:rPr>
          <w:rFonts w:hint="default" w:ascii="Times New Roman" w:hAnsi="Times New Roman" w:eastAsia="sans-serif" w:cs="Times New Roman"/>
          <w:sz w:val="24"/>
          <w:szCs w:val="24"/>
        </w:rPr>
        <w:t xml:space="preserve"> While traditional discourse often blames </w:t>
      </w:r>
      <w:r>
        <w:rPr>
          <w:rFonts w:hint="default" w:ascii="Times New Roman" w:hAnsi="Times New Roman" w:eastAsia="sans-serif" w:cs="Times New Roman"/>
          <w:b/>
          <w:bCs/>
          <w:sz w:val="24"/>
          <w:szCs w:val="24"/>
        </w:rPr>
        <w:t>"Infrastructural Deficits" (Theme 3)</w:t>
      </w:r>
      <w:r>
        <w:rPr>
          <w:rFonts w:hint="default" w:ascii="Times New Roman" w:hAnsi="Times New Roman" w:eastAsia="sans-serif" w:cs="Times New Roman"/>
          <w:sz w:val="24"/>
          <w:szCs w:val="24"/>
        </w:rPr>
        <w:t xml:space="preserve"> for Africa’s digital lag, the regression model suggests that leadership agility is nearly twice as influential in determining readiness as mere equipment procurement.</w:t>
      </w:r>
    </w:p>
    <w:p w14:paraId="72149631">
      <w:pPr>
        <w:pStyle w:val="9"/>
        <w:keepNext w:val="0"/>
        <w:keepLines w:val="0"/>
        <w:widowControl/>
        <w:suppressLineNumbers w:val="0"/>
        <w:spacing w:before="0" w:beforeAutospacing="0" w:line="360" w:lineRule="auto"/>
        <w:ind w:firstLine="480" w:firstLineChars="200"/>
        <w:jc w:val="both"/>
        <w:rPr>
          <w:rFonts w:hint="default" w:ascii="Times New Roman" w:hAnsi="Times New Roman" w:eastAsia="sans-serif" w:cs="Times New Roman"/>
          <w:sz w:val="24"/>
          <w:szCs w:val="24"/>
        </w:rPr>
      </w:pPr>
      <w:r>
        <w:rPr>
          <w:rFonts w:hint="default" w:ascii="Times New Roman" w:hAnsi="Times New Roman" w:eastAsia="sans-serif" w:cs="Times New Roman"/>
          <w:sz w:val="24"/>
          <w:szCs w:val="24"/>
        </w:rPr>
        <w:t xml:space="preserve">This aligns with the </w:t>
      </w:r>
      <w:r>
        <w:rPr>
          <w:rFonts w:hint="default" w:ascii="Times New Roman" w:hAnsi="Times New Roman" w:eastAsia="sans-serif" w:cs="Times New Roman"/>
          <w:b/>
          <w:bCs/>
          <w:sz w:val="24"/>
          <w:szCs w:val="24"/>
        </w:rPr>
        <w:t>Technology Acceptance Model (TAM)</w:t>
      </w:r>
      <w:r>
        <w:rPr>
          <w:rFonts w:hint="default" w:ascii="Times New Roman" w:hAnsi="Times New Roman" w:eastAsia="sans-serif" w:cs="Times New Roman"/>
          <w:sz w:val="24"/>
          <w:szCs w:val="24"/>
        </w:rPr>
        <w:t>, where "Perceived Ease of Use" is not just a feature of the software, but a result of the institutional "scaffolding" provided by management. As Schwab (2017) argues, the velocity of the Fourth Industrial Revolution (4IR) requires "agile governance." The data here proves that in Nigerian TVET, where administration is proactive, the negative impact of barriers is significantly mitigated (</w:t>
      </w:r>
      <w:r>
        <w:rPr>
          <w:rFonts w:hint="default" w:ascii="Times New Roman" w:hAnsi="Times New Roman" w:eastAsia="sans-serif" w:cs="Times New Roman"/>
          <w:b/>
          <w:bCs/>
          <w:sz w:val="24"/>
          <w:szCs w:val="24"/>
        </w:rPr>
        <w:t>r = -.586</w:t>
      </w:r>
      <w:r>
        <w:rPr>
          <w:rFonts w:hint="default" w:ascii="Times New Roman" w:hAnsi="Times New Roman" w:eastAsia="sans-serif" w:cs="Times New Roman"/>
          <w:sz w:val="24"/>
          <w:szCs w:val="24"/>
        </w:rPr>
        <w:t>).</w:t>
      </w:r>
    </w:p>
    <w:p w14:paraId="6FD910D7">
      <w:pPr>
        <w:pStyle w:val="4"/>
        <w:keepNext w:val="0"/>
        <w:keepLines w:val="0"/>
        <w:widowControl/>
        <w:suppressLineNumbers w:val="0"/>
        <w:spacing w:before="0" w:beforeAutospacing="0" w:line="360" w:lineRule="auto"/>
        <w:jc w:val="both"/>
        <w:rPr>
          <w:rFonts w:hint="default" w:ascii="Times New Roman" w:hAnsi="Times New Roman" w:eastAsia="sans-serif" w:cs="Times New Roman"/>
          <w:sz w:val="24"/>
          <w:szCs w:val="24"/>
        </w:rPr>
      </w:pPr>
      <w:r>
        <w:rPr>
          <w:rFonts w:hint="default" w:ascii="Times New Roman" w:hAnsi="Times New Roman" w:eastAsia="sans-serif" w:cs="Times New Roman"/>
          <w:b/>
          <w:bCs/>
          <w:sz w:val="24"/>
          <w:szCs w:val="24"/>
        </w:rPr>
        <w:t>The Interplay of Infrastructure and Administration (Theme 3)</w:t>
      </w:r>
    </w:p>
    <w:p w14:paraId="3049A5BD">
      <w:pPr>
        <w:pStyle w:val="9"/>
        <w:keepNext w:val="0"/>
        <w:keepLines w:val="0"/>
        <w:widowControl/>
        <w:suppressLineNumbers w:val="0"/>
        <w:spacing w:before="0" w:beforeAutospacing="0" w:line="360" w:lineRule="auto"/>
        <w:ind w:firstLine="480" w:firstLineChars="200"/>
        <w:jc w:val="both"/>
        <w:rPr>
          <w:rFonts w:hint="default" w:ascii="Times New Roman" w:hAnsi="Times New Roman" w:eastAsia="sans-serif" w:cs="Times New Roman"/>
          <w:sz w:val="24"/>
          <w:szCs w:val="24"/>
        </w:rPr>
      </w:pPr>
      <w:r>
        <w:rPr>
          <w:rFonts w:hint="default" w:ascii="Times New Roman" w:hAnsi="Times New Roman" w:eastAsia="sans-serif" w:cs="Times New Roman"/>
          <w:sz w:val="24"/>
          <w:szCs w:val="24"/>
        </w:rPr>
        <w:t xml:space="preserve">While quantitative results identify Administrative Practices as the primary driver, the qualitative data regarding </w:t>
      </w:r>
      <w:r>
        <w:rPr>
          <w:rFonts w:hint="default" w:ascii="Times New Roman" w:hAnsi="Times New Roman" w:eastAsia="sans-serif" w:cs="Times New Roman"/>
          <w:b/>
          <w:bCs/>
          <w:sz w:val="24"/>
          <w:szCs w:val="24"/>
        </w:rPr>
        <w:t>Infrastructural and Financial Deficits (Theme 3)</w:t>
      </w:r>
      <w:r>
        <w:rPr>
          <w:rFonts w:hint="default" w:ascii="Times New Roman" w:hAnsi="Times New Roman" w:eastAsia="sans-serif" w:cs="Times New Roman"/>
          <w:sz w:val="24"/>
          <w:szCs w:val="24"/>
        </w:rPr>
        <w:t xml:space="preserve"> explains the environment in which these administrators must operate. In the Nigerian TVET context, deficits in stable power and high-speed connectivity are not merely technical inconveniences; they are systemic barriers that necessitate "Administrative Agility."</w:t>
      </w:r>
    </w:p>
    <w:p w14:paraId="0D13EA27">
      <w:pPr>
        <w:pStyle w:val="9"/>
        <w:keepNext w:val="0"/>
        <w:keepLines w:val="0"/>
        <w:widowControl/>
        <w:suppressLineNumbers w:val="0"/>
        <w:spacing w:before="0" w:beforeAutospacing="0" w:line="360" w:lineRule="auto"/>
        <w:ind w:firstLine="480" w:firstLineChars="200"/>
        <w:jc w:val="both"/>
        <w:rPr>
          <w:rFonts w:hint="default" w:ascii="Times New Roman" w:hAnsi="Times New Roman" w:eastAsia="sans-serif" w:cs="Times New Roman"/>
          <w:sz w:val="24"/>
          <w:szCs w:val="24"/>
        </w:rPr>
      </w:pPr>
      <w:r>
        <w:rPr>
          <w:rFonts w:hint="default" w:ascii="Times New Roman" w:hAnsi="Times New Roman" w:eastAsia="sans-serif" w:cs="Times New Roman"/>
          <w:sz w:val="24"/>
          <w:szCs w:val="24"/>
        </w:rPr>
        <w:t>The negative correlation observed in this study (</w:t>
      </w:r>
      <w:r>
        <w:rPr>
          <w:rFonts w:hint="default" w:ascii="Times New Roman" w:hAnsi="Times New Roman" w:eastAsia="sans-serif" w:cs="Times New Roman"/>
          <w:b/>
          <w:bCs/>
          <w:sz w:val="24"/>
          <w:szCs w:val="24"/>
        </w:rPr>
        <w:t>r = -.586</w:t>
      </w:r>
      <w:r>
        <w:rPr>
          <w:rFonts w:hint="default" w:ascii="Times New Roman" w:hAnsi="Times New Roman" w:eastAsia="sans-serif" w:cs="Times New Roman"/>
          <w:sz w:val="24"/>
          <w:szCs w:val="24"/>
        </w:rPr>
        <w:t xml:space="preserve">) suggests that as administrative effectiveness increases, the paralyzing effect of these infrastructural deficits decreases. This implies that proactive leadership can mitigate the "Infrastructural Deficit" through the adoption of </w:t>
      </w:r>
      <w:r>
        <w:rPr>
          <w:rFonts w:hint="default" w:ascii="Times New Roman" w:hAnsi="Times New Roman" w:eastAsia="sans-serif" w:cs="Times New Roman"/>
          <w:b/>
          <w:bCs/>
          <w:sz w:val="24"/>
          <w:szCs w:val="24"/>
        </w:rPr>
        <w:t>Simulation-First Models</w:t>
      </w:r>
      <w:r>
        <w:rPr>
          <w:rFonts w:hint="default" w:ascii="Times New Roman" w:hAnsi="Times New Roman" w:eastAsia="sans-serif" w:cs="Times New Roman"/>
          <w:b/>
          <w:bCs/>
          <w:sz w:val="24"/>
          <w:szCs w:val="24"/>
          <w:lang w:val="en-US"/>
        </w:rPr>
        <w:t xml:space="preserve"> - </w:t>
      </w:r>
      <w:r>
        <w:rPr>
          <w:rFonts w:hint="default" w:ascii="Times New Roman" w:hAnsi="Times New Roman" w:eastAsia="sans-serif" w:cs="Times New Roman"/>
          <w:sz w:val="24"/>
          <w:szCs w:val="24"/>
        </w:rPr>
        <w:t>such as Virtual Reality (VR) and Augmented Reality (AR). These technologies require significantly less heavy industrial power and physical space than traditional smart-factory hardware, offering a high-fidelity alternative for resource-constrained institutions.</w:t>
      </w:r>
    </w:p>
    <w:p w14:paraId="10CF84B0">
      <w:pPr>
        <w:pStyle w:val="4"/>
        <w:keepNext w:val="0"/>
        <w:keepLines w:val="0"/>
        <w:widowControl/>
        <w:suppressLineNumbers w:val="0"/>
        <w:spacing w:before="0" w:beforeAutospacing="0" w:line="360" w:lineRule="auto"/>
        <w:jc w:val="both"/>
        <w:rPr>
          <w:rFonts w:hint="default" w:ascii="Times New Roman" w:hAnsi="Times New Roman" w:eastAsia="sans-serif" w:cs="Times New Roman"/>
          <w:sz w:val="24"/>
          <w:szCs w:val="24"/>
        </w:rPr>
      </w:pPr>
      <w:r>
        <w:rPr>
          <w:rFonts w:hint="default" w:ascii="Times New Roman" w:hAnsi="Times New Roman" w:eastAsia="sans-serif" w:cs="Times New Roman"/>
          <w:b/>
          <w:bCs/>
          <w:sz w:val="24"/>
          <w:szCs w:val="24"/>
        </w:rPr>
        <w:t>Mitigating the "Sense of Being Lost" (Theme 5)</w:t>
      </w:r>
    </w:p>
    <w:p w14:paraId="6D9C0727">
      <w:pPr>
        <w:pStyle w:val="9"/>
        <w:keepNext w:val="0"/>
        <w:keepLines w:val="0"/>
        <w:widowControl/>
        <w:suppressLineNumbers w:val="0"/>
        <w:spacing w:before="0" w:beforeAutospacing="0" w:line="360" w:lineRule="auto"/>
        <w:ind w:firstLine="480" w:firstLineChars="200"/>
        <w:jc w:val="both"/>
        <w:rPr>
          <w:rFonts w:hint="default" w:ascii="Times New Roman" w:hAnsi="Times New Roman" w:eastAsia="sans-serif" w:cs="Times New Roman"/>
          <w:sz w:val="24"/>
          <w:szCs w:val="24"/>
        </w:rPr>
      </w:pPr>
      <w:r>
        <w:rPr>
          <w:rFonts w:hint="default" w:ascii="Times New Roman" w:hAnsi="Times New Roman" w:eastAsia="sans-serif" w:cs="Times New Roman"/>
          <w:sz w:val="24"/>
          <w:szCs w:val="24"/>
        </w:rPr>
        <w:t>The high statistical significance of the model (</w:t>
      </w:r>
      <w:r>
        <w:rPr>
          <w:rFonts w:hint="default" w:ascii="Times New Roman" w:hAnsi="Times New Roman" w:eastAsia="sans-serif" w:cs="Times New Roman"/>
          <w:b/>
          <w:bCs/>
          <w:sz w:val="24"/>
          <w:szCs w:val="24"/>
        </w:rPr>
        <w:t>R^2 = .814</w:t>
      </w:r>
      <w:r>
        <w:rPr>
          <w:rFonts w:hint="default" w:ascii="Times New Roman" w:hAnsi="Times New Roman" w:eastAsia="sans-serif" w:cs="Times New Roman"/>
          <w:sz w:val="24"/>
          <w:szCs w:val="24"/>
        </w:rPr>
        <w:t xml:space="preserve">) is deeply connected to the </w:t>
      </w:r>
      <w:r>
        <w:rPr>
          <w:rFonts w:hint="default" w:ascii="Times New Roman" w:hAnsi="Times New Roman" w:eastAsia="sans-serif" w:cs="Times New Roman"/>
          <w:b/>
          <w:bCs/>
          <w:sz w:val="24"/>
          <w:szCs w:val="24"/>
        </w:rPr>
        <w:t>Psychological Barriers (Theme 5)</w:t>
      </w:r>
      <w:r>
        <w:rPr>
          <w:rFonts w:hint="default" w:ascii="Times New Roman" w:hAnsi="Times New Roman" w:eastAsia="sans-serif" w:cs="Times New Roman"/>
          <w:sz w:val="24"/>
          <w:szCs w:val="24"/>
        </w:rPr>
        <w:t xml:space="preserve"> identified during the interview phase. Educators reported a profound </w:t>
      </w:r>
      <w:r>
        <w:rPr>
          <w:rFonts w:hint="default" w:ascii="Times New Roman" w:hAnsi="Times New Roman" w:eastAsia="sans-serif" w:cs="Times New Roman"/>
          <w:b/>
          <w:bCs/>
          <w:sz w:val="24"/>
          <w:szCs w:val="24"/>
        </w:rPr>
        <w:t>"Sense of being lost"</w:t>
      </w:r>
      <w:r>
        <w:rPr>
          <w:rFonts w:hint="default" w:ascii="Times New Roman" w:hAnsi="Times New Roman" w:eastAsia="sans-serif" w:cs="Times New Roman"/>
          <w:sz w:val="24"/>
          <w:szCs w:val="24"/>
        </w:rPr>
        <w:t xml:space="preserve"> and a fear of displacement by automation. This psychological state is the human manifestation of the </w:t>
      </w:r>
      <w:r>
        <w:rPr>
          <w:rFonts w:hint="default" w:ascii="Times New Roman" w:hAnsi="Times New Roman" w:eastAsia="sans-serif" w:cs="Times New Roman"/>
          <w:b/>
          <w:bCs/>
          <w:sz w:val="24"/>
          <w:szCs w:val="24"/>
        </w:rPr>
        <w:t>"Technological Dichotomy" (Theme 1)</w:t>
      </w:r>
      <w:r>
        <w:rPr>
          <w:rFonts w:hint="default" w:ascii="Times New Roman" w:hAnsi="Times New Roman" w:eastAsia="sans-serif" w:cs="Times New Roman"/>
          <w:b/>
          <w:bCs/>
          <w:sz w:val="24"/>
          <w:szCs w:val="24"/>
          <w:lang w:val="en-US"/>
        </w:rPr>
        <w:t xml:space="preserve"> - </w:t>
      </w:r>
      <w:r>
        <w:rPr>
          <w:rFonts w:hint="default" w:ascii="Times New Roman" w:hAnsi="Times New Roman" w:eastAsia="sans-serif" w:cs="Times New Roman"/>
          <w:sz w:val="24"/>
          <w:szCs w:val="24"/>
        </w:rPr>
        <w:t>the widening gap between analog pedagogy and cyber-physical industrial reality.</w:t>
      </w:r>
    </w:p>
    <w:p w14:paraId="599910E8">
      <w:pPr>
        <w:pStyle w:val="9"/>
        <w:keepNext w:val="0"/>
        <w:keepLines w:val="0"/>
        <w:widowControl/>
        <w:suppressLineNumbers w:val="0"/>
        <w:spacing w:before="0" w:beforeAutospacing="0" w:line="360" w:lineRule="auto"/>
        <w:ind w:firstLine="480" w:firstLineChars="200"/>
        <w:jc w:val="both"/>
        <w:rPr>
          <w:rFonts w:hint="default" w:ascii="Times New Roman" w:hAnsi="Times New Roman" w:eastAsia="sans-serif" w:cs="Times New Roman"/>
          <w:sz w:val="24"/>
          <w:szCs w:val="24"/>
        </w:rPr>
      </w:pPr>
      <w:r>
        <w:rPr>
          <w:rFonts w:hint="default" w:ascii="Times New Roman" w:hAnsi="Times New Roman" w:eastAsia="sans-serif" w:cs="Times New Roman"/>
          <w:sz w:val="24"/>
          <w:szCs w:val="24"/>
        </w:rPr>
        <w:t xml:space="preserve">Applying the </w:t>
      </w:r>
      <w:r>
        <w:rPr>
          <w:rFonts w:hint="default" w:ascii="Times New Roman" w:hAnsi="Times New Roman" w:eastAsia="sans-serif" w:cs="Times New Roman"/>
          <w:b/>
          <w:bCs/>
          <w:sz w:val="24"/>
          <w:szCs w:val="24"/>
        </w:rPr>
        <w:t>Constructivist Theory</w:t>
      </w:r>
      <w:r>
        <w:rPr>
          <w:rFonts w:hint="default" w:ascii="Times New Roman" w:hAnsi="Times New Roman" w:eastAsia="sans-serif" w:cs="Times New Roman"/>
          <w:sz w:val="24"/>
          <w:szCs w:val="24"/>
        </w:rPr>
        <w:t xml:space="preserve"> to these findings, it becomes clear that learning occurs through building on prior knowledge. When the "gap" between current skills and Industry 4.0 requirements (AI, IoT, Robotics) becomes too wide without administrative support, educators experience "competency vertigo." However, because </w:t>
      </w:r>
      <w:r>
        <w:rPr>
          <w:rFonts w:hint="default" w:ascii="Times New Roman" w:hAnsi="Times New Roman" w:eastAsia="sans-serif" w:cs="Times New Roman"/>
          <w:b/>
          <w:bCs/>
          <w:sz w:val="24"/>
          <w:szCs w:val="24"/>
        </w:rPr>
        <w:t>Administrative Practices (beta = .405)</w:t>
      </w:r>
      <w:r>
        <w:rPr>
          <w:rFonts w:hint="default" w:ascii="Times New Roman" w:hAnsi="Times New Roman" w:eastAsia="sans-serif" w:cs="Times New Roman"/>
          <w:sz w:val="24"/>
          <w:szCs w:val="24"/>
        </w:rPr>
        <w:t xml:space="preserve"> is the strongest predictor, it proves that the remedy for this fear is not just the delivery of new equipment, but the implementation of a supportive administrative framework. By providing clear roadmaps and "Agile" curriculum support, administrators can replace the "sense of being lost" with a sense of digital agency, effectively bridging the dichotomy.</w:t>
      </w:r>
    </w:p>
    <w:p w14:paraId="1CDCFDF7">
      <w:pPr>
        <w:pStyle w:val="4"/>
        <w:keepNext w:val="0"/>
        <w:keepLines w:val="0"/>
        <w:widowControl/>
        <w:suppressLineNumbers w:val="0"/>
        <w:spacing w:before="0" w:beforeAutospacing="0" w:line="360" w:lineRule="auto"/>
        <w:jc w:val="both"/>
        <w:rPr>
          <w:rFonts w:hint="default" w:ascii="Times New Roman" w:hAnsi="Times New Roman" w:eastAsia="sans-serif" w:cs="Times New Roman"/>
          <w:sz w:val="24"/>
          <w:szCs w:val="24"/>
        </w:rPr>
      </w:pPr>
      <w:r>
        <w:rPr>
          <w:rFonts w:hint="default" w:ascii="Times New Roman" w:hAnsi="Times New Roman" w:eastAsia="sans-serif" w:cs="Times New Roman"/>
          <w:b/>
          <w:bCs/>
          <w:sz w:val="24"/>
          <w:szCs w:val="24"/>
        </w:rPr>
        <w:t>Synthesis: Toward a New TVET Logic</w:t>
      </w:r>
    </w:p>
    <w:p w14:paraId="78F59514">
      <w:pPr>
        <w:pStyle w:val="9"/>
        <w:keepNext w:val="0"/>
        <w:keepLines w:val="0"/>
        <w:widowControl/>
        <w:suppressLineNumbers w:val="0"/>
        <w:spacing w:before="0" w:beforeAutospacing="0" w:line="360" w:lineRule="auto"/>
        <w:ind w:firstLine="480" w:firstLineChars="200"/>
        <w:jc w:val="both"/>
        <w:rPr>
          <w:rFonts w:hint="default" w:ascii="Times New Roman" w:hAnsi="Times New Roman" w:eastAsia="sans-serif" w:cs="Times New Roman"/>
          <w:sz w:val="24"/>
          <w:szCs w:val="24"/>
        </w:rPr>
      </w:pPr>
      <w:r>
        <w:rPr>
          <w:rFonts w:hint="default" w:ascii="Times New Roman" w:hAnsi="Times New Roman" w:eastAsia="sans-serif" w:cs="Times New Roman"/>
          <w:sz w:val="24"/>
          <w:szCs w:val="24"/>
        </w:rPr>
        <w:t xml:space="preserve">The synthesis of data confirms that Nigeria's TVET institutions are currently operating in a </w:t>
      </w:r>
      <w:r>
        <w:rPr>
          <w:rFonts w:hint="default" w:ascii="Times New Roman" w:hAnsi="Times New Roman" w:eastAsia="sans-serif" w:cs="Times New Roman"/>
          <w:b/>
          <w:bCs/>
          <w:sz w:val="24"/>
          <w:szCs w:val="24"/>
        </w:rPr>
        <w:t>"hybrid lag"</w:t>
      </w:r>
      <w:r>
        <w:rPr>
          <w:rFonts w:hint="default" w:ascii="Times New Roman" w:hAnsi="Times New Roman" w:eastAsia="sans-serif" w:cs="Times New Roman"/>
          <w:b/>
          <w:bCs/>
          <w:sz w:val="24"/>
          <w:szCs w:val="24"/>
          <w:lang w:val="en-US"/>
        </w:rPr>
        <w:t xml:space="preserve"> - </w:t>
      </w:r>
      <w:r>
        <w:rPr>
          <w:rFonts w:hint="default" w:ascii="Times New Roman" w:hAnsi="Times New Roman" w:eastAsia="sans-serif" w:cs="Times New Roman"/>
          <w:sz w:val="24"/>
          <w:szCs w:val="24"/>
        </w:rPr>
        <w:t xml:space="preserve">trapped between the requirements of Industry 2.0 (Mass Production) and the imperatives of Industry 4.0 (Customization/Digitization). The </w:t>
      </w:r>
      <w:r>
        <w:rPr>
          <w:rFonts w:hint="default" w:ascii="Times New Roman" w:hAnsi="Times New Roman" w:eastAsia="sans-serif" w:cs="Times New Roman"/>
          <w:b/>
          <w:bCs/>
          <w:sz w:val="24"/>
          <w:szCs w:val="24"/>
        </w:rPr>
        <w:t>TIIM framework</w:t>
      </w:r>
      <w:r>
        <w:rPr>
          <w:rFonts w:hint="default" w:ascii="Times New Roman" w:hAnsi="Times New Roman" w:eastAsia="sans-serif" w:cs="Times New Roman"/>
          <w:sz w:val="24"/>
          <w:szCs w:val="24"/>
        </w:rPr>
        <w:t xml:space="preserve"> proposed in this study moves the conversation forward by suggesting that the "Outcome" of graduate employability is impossible without a fundamental "Input" shift toward administrative reform.</w:t>
      </w:r>
    </w:p>
    <w:p w14:paraId="1C14F822">
      <w:pPr>
        <w:pStyle w:val="9"/>
        <w:keepNext w:val="0"/>
        <w:keepLines w:val="0"/>
        <w:widowControl/>
        <w:suppressLineNumbers w:val="0"/>
        <w:spacing w:before="0" w:beforeAutospacing="0" w:line="360" w:lineRule="auto"/>
        <w:ind w:firstLine="480" w:firstLineChars="200"/>
        <w:jc w:val="both"/>
        <w:rPr>
          <w:rFonts w:hint="default" w:ascii="Times New Roman" w:hAnsi="Times New Roman" w:eastAsia="sans-serif" w:cs="Times New Roman"/>
          <w:sz w:val="24"/>
          <w:szCs w:val="24"/>
        </w:rPr>
      </w:pPr>
      <w:r>
        <w:rPr>
          <w:rFonts w:hint="default" w:ascii="Times New Roman" w:hAnsi="Times New Roman" w:eastAsia="sans-serif" w:cs="Times New Roman"/>
          <w:sz w:val="24"/>
          <w:szCs w:val="24"/>
        </w:rPr>
        <w:t xml:space="preserve">By validating that </w:t>
      </w:r>
      <w:r>
        <w:rPr>
          <w:rFonts w:hint="default" w:ascii="Times New Roman" w:hAnsi="Times New Roman" w:eastAsia="sans-serif" w:cs="Times New Roman"/>
          <w:b/>
          <w:bCs/>
          <w:sz w:val="24"/>
          <w:szCs w:val="24"/>
        </w:rPr>
        <w:t>81.4% of institutional readiness</w:t>
      </w:r>
      <w:r>
        <w:rPr>
          <w:rFonts w:hint="default" w:ascii="Times New Roman" w:hAnsi="Times New Roman" w:eastAsia="sans-serif" w:cs="Times New Roman"/>
          <w:sz w:val="24"/>
          <w:szCs w:val="24"/>
        </w:rPr>
        <w:t xml:space="preserve"> can be predicted by the variables in this model, this study provides the </w:t>
      </w:r>
      <w:r>
        <w:rPr>
          <w:rFonts w:hint="default" w:ascii="Times New Roman" w:hAnsi="Times New Roman" w:eastAsia="sans-serif" w:cs="Times New Roman"/>
          <w:b/>
          <w:bCs/>
          <w:sz w:val="24"/>
          <w:szCs w:val="24"/>
        </w:rPr>
        <w:t>National Board for Technical Education (NBTE)</w:t>
      </w:r>
      <w:r>
        <w:rPr>
          <w:rFonts w:hint="default" w:ascii="Times New Roman" w:hAnsi="Times New Roman" w:eastAsia="sans-serif" w:cs="Times New Roman"/>
          <w:sz w:val="24"/>
          <w:szCs w:val="24"/>
        </w:rPr>
        <w:t xml:space="preserve"> with an empirical roadmap. It proves that bridging the dichotomy requires a move away from "analog administration" toward an </w:t>
      </w:r>
      <w:r>
        <w:rPr>
          <w:rFonts w:hint="default" w:ascii="Times New Roman" w:hAnsi="Times New Roman" w:eastAsia="sans-serif" w:cs="Times New Roman"/>
          <w:b/>
          <w:bCs/>
          <w:sz w:val="24"/>
          <w:szCs w:val="24"/>
        </w:rPr>
        <w:t>"agile ecosystem"</w:t>
      </w:r>
      <w:r>
        <w:rPr>
          <w:rFonts w:hint="default" w:ascii="Times New Roman" w:hAnsi="Times New Roman" w:eastAsia="sans-serif" w:cs="Times New Roman"/>
          <w:sz w:val="24"/>
          <w:szCs w:val="24"/>
        </w:rPr>
        <w:t xml:space="preserve"> that prioritizes educator fluency and industry partnerships.</w:t>
      </w:r>
    </w:p>
    <w:p w14:paraId="4D8C73BC">
      <w:pPr>
        <w:pStyle w:val="3"/>
        <w:keepNext w:val="0"/>
        <w:keepLines w:val="0"/>
        <w:widowControl/>
        <w:suppressLineNumbers w:val="0"/>
        <w:spacing w:before="0" w:beforeAutospacing="0" w:line="360" w:lineRule="auto"/>
        <w:jc w:val="both"/>
        <w:rPr>
          <w:rFonts w:hint="default" w:ascii="Times New Roman" w:hAnsi="Times New Roman" w:eastAsia="sans-serif" w:cs="Times New Roman"/>
          <w:sz w:val="24"/>
          <w:szCs w:val="24"/>
        </w:rPr>
      </w:pPr>
      <w:r>
        <w:rPr>
          <w:rFonts w:hint="default" w:ascii="Times New Roman" w:hAnsi="Times New Roman" w:eastAsia="sans-serif" w:cs="Times New Roman"/>
          <w:b/>
          <w:bCs/>
          <w:sz w:val="24"/>
          <w:szCs w:val="24"/>
        </w:rPr>
        <w:t>THE SYNTHESIS</w:t>
      </w:r>
      <w:r>
        <w:rPr>
          <w:rFonts w:hint="default" w:ascii="Times New Roman" w:hAnsi="Times New Roman" w:eastAsia="sans-serif" w:cs="Times New Roman"/>
          <w:b/>
          <w:bCs/>
          <w:sz w:val="24"/>
          <w:szCs w:val="24"/>
          <w:lang w:val="en-US"/>
        </w:rPr>
        <w:t xml:space="preserve"> OF FINDINGS</w:t>
      </w:r>
    </w:p>
    <w:p w14:paraId="3671FE4C">
      <w:pPr>
        <w:keepNext w:val="0"/>
        <w:keepLines w:val="0"/>
        <w:widowControl/>
        <w:suppressLineNumbers w:val="0"/>
        <w:spacing w:line="360" w:lineRule="auto"/>
        <w:ind w:firstLine="480" w:firstLineChars="200"/>
        <w:jc w:val="both"/>
        <w:rPr>
          <w:rFonts w:hint="default" w:ascii="Times New Roman" w:hAnsi="Times New Roman" w:eastAsia="sans-serif" w:cs="Times New Roman"/>
          <w:sz w:val="24"/>
          <w:szCs w:val="24"/>
        </w:rPr>
      </w:pPr>
      <w:r>
        <w:rPr>
          <w:rFonts w:hint="default" w:ascii="Times New Roman" w:hAnsi="Times New Roman" w:eastAsia="SimSun" w:cs="Times New Roman"/>
          <w:kern w:val="0"/>
          <w:sz w:val="24"/>
          <w:szCs w:val="24"/>
          <w:lang w:val="en-US" w:eastAsia="zh-CN" w:bidi="ar"/>
        </w:rPr>
        <w:t xml:space="preserve">The "technological dichotomy" identified in this study is not merely an equipment deficit but a fundamental leadership challenge. The qualitative "sense of being lost" reported by educators provides the necessary human context for the quantitative data, revealing that psychological resistance is a byproduct of systemic administrative inertia. The statistical primacy of </w:t>
      </w:r>
      <w:r>
        <w:rPr>
          <w:rFonts w:hint="default" w:ascii="Times New Roman" w:hAnsi="Times New Roman" w:eastAsia="sans-serif" w:cs="Times New Roman"/>
          <w:b/>
          <w:bCs/>
          <w:kern w:val="0"/>
          <w:sz w:val="24"/>
          <w:szCs w:val="24"/>
          <w:lang w:val="en-US" w:eastAsia="zh-CN" w:bidi="ar"/>
        </w:rPr>
        <w:t>Administrative Practices (beta = .405)</w:t>
      </w:r>
      <w:r>
        <w:rPr>
          <w:rFonts w:hint="default" w:ascii="Times New Roman" w:hAnsi="Times New Roman" w:eastAsia="SimSun" w:cs="Times New Roman"/>
          <w:kern w:val="0"/>
          <w:sz w:val="24"/>
          <w:szCs w:val="24"/>
          <w:lang w:val="en-US" w:eastAsia="zh-CN" w:bidi="ar"/>
        </w:rPr>
        <w:t xml:space="preserve"> proves that leadership agility is the foundational prerequisite for technological adoption. This aligns with the </w:t>
      </w:r>
      <w:r>
        <w:rPr>
          <w:rFonts w:hint="default" w:ascii="Times New Roman" w:hAnsi="Times New Roman" w:eastAsia="sans-serif" w:cs="Times New Roman"/>
          <w:b/>
          <w:bCs/>
          <w:kern w:val="0"/>
          <w:sz w:val="24"/>
          <w:szCs w:val="24"/>
          <w:lang w:val="en-US" w:eastAsia="zh-CN" w:bidi="ar"/>
        </w:rPr>
        <w:t>Technology Acceptance Model (TAM)</w:t>
      </w:r>
      <w:r>
        <w:rPr>
          <w:rFonts w:hint="default" w:ascii="Times New Roman" w:hAnsi="Times New Roman" w:eastAsia="SimSun" w:cs="Times New Roman"/>
          <w:kern w:val="0"/>
          <w:sz w:val="24"/>
          <w:szCs w:val="24"/>
          <w:lang w:val="en-US" w:eastAsia="zh-CN" w:bidi="ar"/>
        </w:rPr>
        <w:t>; educators cannot "accept" technology if the administrative framework fails to provide a "Perceived Ease of Use" through strategic training and policy support.</w:t>
      </w:r>
    </w:p>
    <w:p w14:paraId="3AFABE25">
      <w:pPr>
        <w:pStyle w:val="3"/>
        <w:keepNext w:val="0"/>
        <w:keepLines w:val="0"/>
        <w:widowControl/>
        <w:suppressLineNumbers w:val="0"/>
        <w:spacing w:before="0" w:beforeAutospacing="0" w:line="360" w:lineRule="auto"/>
        <w:jc w:val="both"/>
        <w:rPr>
          <w:rFonts w:hint="default" w:ascii="Times New Roman" w:hAnsi="Times New Roman" w:eastAsia="sans-serif" w:cs="Times New Roman"/>
          <w:sz w:val="24"/>
          <w:szCs w:val="24"/>
        </w:rPr>
      </w:pPr>
      <w:r>
        <w:rPr>
          <w:rFonts w:hint="default" w:ascii="Times New Roman" w:hAnsi="Times New Roman" w:eastAsia="sans-serif" w:cs="Times New Roman"/>
          <w:b/>
          <w:bCs/>
          <w:sz w:val="24"/>
          <w:szCs w:val="24"/>
        </w:rPr>
        <w:t>CONCLUSION AND RECOMMENDATIONS</w:t>
      </w:r>
    </w:p>
    <w:p w14:paraId="50C5F9D9">
      <w:pPr>
        <w:pStyle w:val="4"/>
        <w:keepNext w:val="0"/>
        <w:keepLines w:val="0"/>
        <w:widowControl/>
        <w:suppressLineNumbers w:val="0"/>
        <w:spacing w:before="0" w:beforeAutospacing="0" w:line="360" w:lineRule="auto"/>
        <w:jc w:val="both"/>
        <w:rPr>
          <w:rFonts w:hint="default" w:ascii="Times New Roman" w:hAnsi="Times New Roman" w:eastAsia="sans-serif" w:cs="Times New Roman"/>
          <w:sz w:val="24"/>
          <w:szCs w:val="24"/>
        </w:rPr>
      </w:pPr>
      <w:r>
        <w:rPr>
          <w:rFonts w:hint="default" w:ascii="Times New Roman" w:hAnsi="Times New Roman" w:eastAsia="sans-serif" w:cs="Times New Roman"/>
          <w:b/>
          <w:bCs/>
          <w:sz w:val="24"/>
          <w:szCs w:val="24"/>
        </w:rPr>
        <w:t>Conclusion</w:t>
      </w:r>
    </w:p>
    <w:p w14:paraId="498AC9E9">
      <w:pPr>
        <w:pStyle w:val="9"/>
        <w:keepNext w:val="0"/>
        <w:keepLines w:val="0"/>
        <w:widowControl/>
        <w:suppressLineNumbers w:val="0"/>
        <w:spacing w:before="0" w:beforeAutospacing="0" w:line="360" w:lineRule="auto"/>
        <w:ind w:firstLine="480" w:firstLineChars="200"/>
        <w:jc w:val="both"/>
        <w:rPr>
          <w:rFonts w:hint="default" w:ascii="Times New Roman" w:hAnsi="Times New Roman" w:eastAsia="sans-serif" w:cs="Times New Roman"/>
          <w:sz w:val="24"/>
          <w:szCs w:val="24"/>
        </w:rPr>
      </w:pPr>
      <w:r>
        <w:rPr>
          <w:rFonts w:hint="default" w:ascii="Times New Roman" w:hAnsi="Times New Roman" w:eastAsia="sans-serif" w:cs="Times New Roman"/>
          <w:sz w:val="24"/>
          <w:szCs w:val="24"/>
        </w:rPr>
        <w:t xml:space="preserve">This study has demonstrated that Nigeria’s TVET sector must move beyond "analog administration" to survive the Fourth Industrial Revolution. By validating the </w:t>
      </w:r>
      <w:r>
        <w:rPr>
          <w:rFonts w:hint="default" w:ascii="Times New Roman" w:hAnsi="Times New Roman" w:eastAsia="sans-serif" w:cs="Times New Roman"/>
          <w:b/>
          <w:bCs/>
          <w:sz w:val="24"/>
          <w:szCs w:val="24"/>
        </w:rPr>
        <w:t>TVET Industry 4.0 Integration Model (TIIM)</w:t>
      </w:r>
      <w:r>
        <w:rPr>
          <w:rFonts w:hint="default" w:ascii="Times New Roman" w:hAnsi="Times New Roman" w:eastAsia="sans-serif" w:cs="Times New Roman"/>
          <w:sz w:val="24"/>
          <w:szCs w:val="24"/>
        </w:rPr>
        <w:t>, this research proves that 81.4% of institutional preparedness is determined by systemic factors, with leadership being the most potent predictor. By addressing the administrative bottleneck and empowering educators with digital fluency, the system can ensure graduates are the architects of the future, not its victims.</w:t>
      </w:r>
    </w:p>
    <w:p w14:paraId="186D3B0C">
      <w:pPr>
        <w:pStyle w:val="3"/>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b/>
          <w:bCs/>
          <w:sz w:val="24"/>
          <w:szCs w:val="24"/>
        </w:rPr>
        <w:t>Policy Recommendations</w:t>
      </w:r>
    </w:p>
    <w:p w14:paraId="0B85BA4B">
      <w:pPr>
        <w:pStyle w:val="9"/>
        <w:keepNext w:val="0"/>
        <w:keepLines w:val="0"/>
        <w:widowControl/>
        <w:suppressLineNumbers w:val="0"/>
        <w:spacing w:line="360" w:lineRule="auto"/>
        <w:ind w:firstLine="480" w:firstLineChars="200"/>
        <w:jc w:val="both"/>
        <w:rPr>
          <w:rFonts w:hint="default" w:ascii="Sans Serif Collection" w:hAnsi="Sans Serif Collection" w:cs="Sans Serif Collection"/>
          <w:b/>
          <w:bCs/>
          <w:sz w:val="24"/>
          <w:szCs w:val="24"/>
        </w:rPr>
      </w:pPr>
      <w:r>
        <w:rPr>
          <w:rFonts w:hint="default" w:ascii="Times New Roman" w:hAnsi="Times New Roman" w:eastAsia="SimSun" w:cs="Times New Roman"/>
          <w:sz w:val="24"/>
          <w:szCs w:val="24"/>
        </w:rPr>
        <w:t xml:space="preserve">To translate the empirical findings into actionable strategy, the following recommendations are structured according to the stages of the TIIM framework </w:t>
      </w:r>
      <w:r>
        <w:rPr>
          <w:rFonts w:hint="default" w:ascii="Times New Roman" w:hAnsi="Times New Roman" w:eastAsia="SimSun" w:cs="Times New Roman"/>
          <w:b/>
          <w:bCs/>
          <w:sz w:val="24"/>
          <w:szCs w:val="24"/>
        </w:rPr>
        <w:t>(see Table 7)</w:t>
      </w:r>
      <w:r>
        <w:rPr>
          <w:rFonts w:hint="default" w:ascii="Times New Roman" w:hAnsi="Times New Roman" w:eastAsia="SimSun" w:cs="Times New Roman"/>
          <w:sz w:val="24"/>
          <w:szCs w:val="24"/>
        </w:rPr>
        <w:t>. These proposals directly address the primary predictors identified in the regression model</w:t>
      </w:r>
      <w:r>
        <w:rPr>
          <w:rFonts w:hint="default" w:ascii="Times New Roman" w:hAnsi="Times New Roman" w:eastAsia="SimSun" w:cs="Times New Roman"/>
          <w:sz w:val="24"/>
          <w:szCs w:val="24"/>
          <w:lang w:val="en-US"/>
        </w:rPr>
        <w:t xml:space="preserve"> - </w:t>
      </w:r>
      <w:r>
        <w:rPr>
          <w:rFonts w:hint="default" w:ascii="Times New Roman" w:hAnsi="Times New Roman" w:eastAsia="SimSun" w:cs="Times New Roman"/>
          <w:sz w:val="24"/>
          <w:szCs w:val="24"/>
        </w:rPr>
        <w:t>most notably the primacy of administrative agility</w:t>
      </w:r>
      <w:r>
        <w:rPr>
          <w:rFonts w:hint="default" w:ascii="Times New Roman" w:hAnsi="Times New Roman" w:eastAsia="SimSun" w:cs="Times New Roman"/>
          <w:sz w:val="24"/>
          <w:szCs w:val="24"/>
          <w:lang w:val="en-US"/>
        </w:rPr>
        <w:t xml:space="preserve"> - </w:t>
      </w:r>
      <w:r>
        <w:rPr>
          <w:rFonts w:hint="default" w:ascii="Times New Roman" w:hAnsi="Times New Roman" w:eastAsia="SimSun" w:cs="Times New Roman"/>
          <w:sz w:val="24"/>
          <w:szCs w:val="24"/>
        </w:rPr>
        <w:t>and the qualitative themes of infrastructural and psychological barriers.</w:t>
      </w:r>
    </w:p>
    <w:p w14:paraId="3A881DF3">
      <w:pPr>
        <w:pStyle w:val="9"/>
        <w:keepNext w:val="0"/>
        <w:keepLines w:val="0"/>
        <w:widowControl/>
        <w:suppressLineNumbers w:val="0"/>
        <w:jc w:val="center"/>
        <w:rPr>
          <w:rFonts w:hint="default" w:ascii="Times New Roman" w:hAnsi="Times New Roman" w:eastAsia="sans-serif" w:cs="Times New Roman"/>
          <w:b/>
          <w:bCs/>
          <w:sz w:val="24"/>
          <w:szCs w:val="24"/>
          <w:lang w:val="en-US"/>
        </w:rPr>
      </w:pPr>
      <w:r>
        <w:rPr>
          <w:rFonts w:hint="default" w:ascii="Sans Serif Collection" w:hAnsi="Sans Serif Collection" w:cs="Sans Serif Collection"/>
          <w:b/>
          <w:bCs/>
          <w:sz w:val="24"/>
          <w:szCs w:val="24"/>
        </w:rPr>
        <w:t>Table 7: Strategic Recommendations for Industry 4.0 Integration</w:t>
      </w:r>
    </w:p>
    <w:tbl>
      <w:tblPr>
        <w:tblStyle w:val="6"/>
        <w:tblW w:w="0" w:type="auto"/>
        <w:tblCellSpacing w:w="15"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063"/>
        <w:gridCol w:w="1942"/>
        <w:gridCol w:w="4401"/>
      </w:tblGrid>
      <w:tr w14:paraId="51B38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blCellSpacing w:w="15" w:type="dxa"/>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E64DFA5">
            <w:pPr>
              <w:keepNext w:val="0"/>
              <w:keepLines w:val="0"/>
              <w:widowControl/>
              <w:suppressLineNumbers w:val="0"/>
              <w:spacing w:before="0" w:beforeAutospacing="0" w:line="12" w:lineRule="atLeast"/>
              <w:jc w:val="both"/>
              <w:rPr>
                <w:rFonts w:hint="default" w:ascii="Times New Roman" w:hAnsi="Times New Roman" w:eastAsia="sans-serif" w:cs="Times New Roman"/>
                <w:sz w:val="24"/>
                <w:szCs w:val="24"/>
              </w:rPr>
            </w:pPr>
            <w:r>
              <w:rPr>
                <w:rStyle w:val="10"/>
                <w:rFonts w:hint="default" w:ascii="Times New Roman" w:hAnsi="Times New Roman" w:eastAsia="sans-serif" w:cs="Times New Roman"/>
                <w:kern w:val="0"/>
                <w:sz w:val="24"/>
                <w:szCs w:val="24"/>
                <w:lang w:val="en-US" w:eastAsia="zh-CN" w:bidi="ar"/>
              </w:rPr>
              <w:t>Table 1 Component</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79C6B0F">
            <w:pPr>
              <w:keepNext w:val="0"/>
              <w:keepLines w:val="0"/>
              <w:widowControl/>
              <w:suppressLineNumbers w:val="0"/>
              <w:spacing w:before="0" w:beforeAutospacing="0" w:line="12" w:lineRule="atLeast"/>
              <w:jc w:val="both"/>
              <w:rPr>
                <w:rFonts w:hint="default" w:ascii="Times New Roman" w:hAnsi="Times New Roman" w:eastAsia="sans-serif" w:cs="Times New Roman"/>
                <w:sz w:val="24"/>
                <w:szCs w:val="24"/>
              </w:rPr>
            </w:pPr>
            <w:r>
              <w:rPr>
                <w:rStyle w:val="10"/>
                <w:rFonts w:hint="default" w:ascii="Times New Roman" w:hAnsi="Times New Roman" w:eastAsia="sans-serif" w:cs="Times New Roman"/>
                <w:kern w:val="0"/>
                <w:sz w:val="24"/>
                <w:szCs w:val="24"/>
                <w:lang w:val="en-US" w:eastAsia="zh-CN" w:bidi="ar"/>
              </w:rPr>
              <w:t>Research Finding</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FE6C6D0">
            <w:pPr>
              <w:keepNext w:val="0"/>
              <w:keepLines w:val="0"/>
              <w:widowControl/>
              <w:suppressLineNumbers w:val="0"/>
              <w:spacing w:before="0" w:beforeAutospacing="0" w:line="12" w:lineRule="atLeast"/>
              <w:jc w:val="both"/>
              <w:rPr>
                <w:rFonts w:hint="default" w:ascii="Times New Roman" w:hAnsi="Times New Roman" w:eastAsia="sans-serif" w:cs="Times New Roman"/>
                <w:sz w:val="24"/>
                <w:szCs w:val="24"/>
              </w:rPr>
            </w:pPr>
            <w:r>
              <w:rPr>
                <w:rStyle w:val="10"/>
                <w:rFonts w:hint="default" w:ascii="Times New Roman" w:hAnsi="Times New Roman" w:eastAsia="sans-serif" w:cs="Times New Roman"/>
                <w:kern w:val="0"/>
                <w:sz w:val="24"/>
                <w:szCs w:val="24"/>
                <w:lang w:val="en-US" w:eastAsia="zh-CN" w:bidi="ar"/>
              </w:rPr>
              <w:t>Final Recommendation</w:t>
            </w:r>
          </w:p>
        </w:tc>
      </w:tr>
      <w:tr w14:paraId="2B7B3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3E5C4D6">
            <w:pPr>
              <w:keepNext w:val="0"/>
              <w:keepLines w:val="0"/>
              <w:widowControl/>
              <w:suppressLineNumbers w:val="0"/>
              <w:spacing w:before="0" w:beforeAutospacing="0" w:line="12" w:lineRule="atLeast"/>
              <w:jc w:val="both"/>
              <w:rPr>
                <w:rFonts w:hint="default" w:ascii="Times New Roman" w:hAnsi="Times New Roman" w:eastAsia="sans-serif" w:cs="Times New Roman"/>
                <w:sz w:val="24"/>
                <w:szCs w:val="24"/>
              </w:rPr>
            </w:pPr>
            <w:r>
              <w:rPr>
                <w:rFonts w:hint="default" w:ascii="Times New Roman" w:hAnsi="Times New Roman" w:eastAsia="sans-serif" w:cs="Times New Roman"/>
                <w:b/>
                <w:bCs/>
                <w:kern w:val="0"/>
                <w:sz w:val="24"/>
                <w:szCs w:val="24"/>
                <w:lang w:val="en-US" w:eastAsia="zh-CN" w:bidi="ar"/>
              </w:rPr>
              <w:t>Inputs:</w:t>
            </w:r>
            <w:r>
              <w:rPr>
                <w:rFonts w:hint="default" w:ascii="Times New Roman" w:hAnsi="Times New Roman" w:eastAsia="sans-serif" w:cs="Times New Roman"/>
                <w:kern w:val="0"/>
                <w:sz w:val="24"/>
                <w:szCs w:val="24"/>
                <w:lang w:val="en-US" w:eastAsia="zh-CN" w:bidi="ar"/>
              </w:rPr>
              <w:t xml:space="preserve"> Administrative Reform</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52EA00A">
            <w:pPr>
              <w:keepNext w:val="0"/>
              <w:keepLines w:val="0"/>
              <w:widowControl/>
              <w:suppressLineNumbers w:val="0"/>
              <w:spacing w:before="0" w:beforeAutospacing="0" w:line="12" w:lineRule="atLeast"/>
              <w:jc w:val="both"/>
              <w:rPr>
                <w:rFonts w:hint="default" w:ascii="Times New Roman" w:hAnsi="Times New Roman" w:eastAsia="sans-serif" w:cs="Times New Roman"/>
                <w:sz w:val="24"/>
                <w:szCs w:val="24"/>
              </w:rPr>
            </w:pPr>
            <w:r>
              <w:rPr>
                <w:rFonts w:hint="default" w:ascii="Times New Roman" w:hAnsi="Times New Roman" w:eastAsia="sans-serif" w:cs="Times New Roman"/>
                <w:kern w:val="0"/>
                <w:sz w:val="24"/>
                <w:szCs w:val="24"/>
                <w:lang w:val="en-US" w:eastAsia="zh-CN" w:bidi="ar"/>
              </w:rPr>
              <w:t>beta = .405 (Strongest Predictor)</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F4B7051">
            <w:pPr>
              <w:keepNext w:val="0"/>
              <w:keepLines w:val="0"/>
              <w:widowControl/>
              <w:suppressLineNumbers w:val="0"/>
              <w:spacing w:before="0" w:beforeAutospacing="0" w:line="12" w:lineRule="atLeast"/>
              <w:jc w:val="both"/>
              <w:rPr>
                <w:rFonts w:hint="default" w:ascii="Times New Roman" w:hAnsi="Times New Roman" w:eastAsia="sans-serif" w:cs="Times New Roman"/>
                <w:sz w:val="24"/>
                <w:szCs w:val="24"/>
              </w:rPr>
            </w:pPr>
            <w:r>
              <w:rPr>
                <w:rFonts w:hint="default" w:ascii="Times New Roman" w:hAnsi="Times New Roman" w:eastAsia="sans-serif" w:cs="Times New Roman"/>
                <w:b/>
                <w:bCs/>
                <w:kern w:val="0"/>
                <w:sz w:val="24"/>
                <w:szCs w:val="24"/>
                <w:lang w:val="en-US" w:eastAsia="zh-CN" w:bidi="ar"/>
              </w:rPr>
              <w:t>Digital Leadership Mandate:</w:t>
            </w:r>
            <w:r>
              <w:rPr>
                <w:rFonts w:hint="default" w:ascii="Times New Roman" w:hAnsi="Times New Roman" w:eastAsia="sans-serif" w:cs="Times New Roman"/>
                <w:kern w:val="0"/>
                <w:sz w:val="24"/>
                <w:szCs w:val="24"/>
                <w:lang w:val="en-US" w:eastAsia="zh-CN" w:bidi="ar"/>
              </w:rPr>
              <w:t xml:space="preserve"> NBTE should require "Industry 4.0 Management" certification for all TVET Principals/Rectors.</w:t>
            </w:r>
          </w:p>
        </w:tc>
      </w:tr>
      <w:tr w14:paraId="3770C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6255335">
            <w:pPr>
              <w:keepNext w:val="0"/>
              <w:keepLines w:val="0"/>
              <w:widowControl/>
              <w:suppressLineNumbers w:val="0"/>
              <w:spacing w:before="0" w:beforeAutospacing="0" w:line="12" w:lineRule="atLeast"/>
              <w:jc w:val="both"/>
              <w:rPr>
                <w:rFonts w:hint="default" w:ascii="Times New Roman" w:hAnsi="Times New Roman" w:eastAsia="sans-serif" w:cs="Times New Roman"/>
                <w:sz w:val="24"/>
                <w:szCs w:val="24"/>
              </w:rPr>
            </w:pPr>
            <w:r>
              <w:rPr>
                <w:rFonts w:hint="default" w:ascii="Times New Roman" w:hAnsi="Times New Roman" w:eastAsia="sans-serif" w:cs="Times New Roman"/>
                <w:b/>
                <w:bCs/>
                <w:kern w:val="0"/>
                <w:sz w:val="24"/>
                <w:szCs w:val="24"/>
                <w:lang w:val="en-US" w:eastAsia="zh-CN" w:bidi="ar"/>
              </w:rPr>
              <w:t>Process:</w:t>
            </w:r>
            <w:r>
              <w:rPr>
                <w:rFonts w:hint="default" w:ascii="Times New Roman" w:hAnsi="Times New Roman" w:eastAsia="sans-serif" w:cs="Times New Roman"/>
                <w:kern w:val="0"/>
                <w:sz w:val="24"/>
                <w:szCs w:val="24"/>
                <w:lang w:val="en-US" w:eastAsia="zh-CN" w:bidi="ar"/>
              </w:rPr>
              <w:t xml:space="preserve"> Curriculum Re-engineering</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48E2BBC">
            <w:pPr>
              <w:keepNext w:val="0"/>
              <w:keepLines w:val="0"/>
              <w:widowControl/>
              <w:suppressLineNumbers w:val="0"/>
              <w:spacing w:before="0" w:beforeAutospacing="0" w:line="12" w:lineRule="atLeast"/>
              <w:jc w:val="both"/>
              <w:rPr>
                <w:rFonts w:hint="default" w:ascii="Times New Roman" w:hAnsi="Times New Roman" w:eastAsia="sans-serif" w:cs="Times New Roman"/>
                <w:sz w:val="24"/>
                <w:szCs w:val="24"/>
              </w:rPr>
            </w:pPr>
            <w:r>
              <w:rPr>
                <w:rFonts w:hint="default" w:ascii="Times New Roman" w:hAnsi="Times New Roman" w:eastAsia="sans-serif" w:cs="Times New Roman"/>
                <w:kern w:val="0"/>
                <w:sz w:val="24"/>
                <w:szCs w:val="24"/>
                <w:lang w:val="en-US" w:eastAsia="zh-CN" w:bidi="ar"/>
              </w:rPr>
              <w:t>Qualitative "Competency Gap"</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B2B23A4">
            <w:pPr>
              <w:keepNext w:val="0"/>
              <w:keepLines w:val="0"/>
              <w:widowControl/>
              <w:suppressLineNumbers w:val="0"/>
              <w:spacing w:before="0" w:beforeAutospacing="0" w:line="12" w:lineRule="atLeast"/>
              <w:jc w:val="both"/>
              <w:rPr>
                <w:rFonts w:hint="default" w:ascii="Times New Roman" w:hAnsi="Times New Roman" w:eastAsia="sans-serif" w:cs="Times New Roman"/>
                <w:sz w:val="24"/>
                <w:szCs w:val="24"/>
              </w:rPr>
            </w:pPr>
            <w:r>
              <w:rPr>
                <w:rFonts w:hint="default" w:ascii="Times New Roman" w:hAnsi="Times New Roman" w:eastAsia="sans-serif" w:cs="Times New Roman"/>
                <w:b/>
                <w:bCs/>
                <w:kern w:val="0"/>
                <w:sz w:val="24"/>
                <w:szCs w:val="24"/>
                <w:lang w:val="en-US" w:eastAsia="zh-CN" w:bidi="ar"/>
              </w:rPr>
              <w:t>Agile Curriculum:</w:t>
            </w:r>
            <w:r>
              <w:rPr>
                <w:rFonts w:hint="default" w:ascii="Times New Roman" w:hAnsi="Times New Roman" w:eastAsia="sans-serif" w:cs="Times New Roman"/>
                <w:kern w:val="0"/>
                <w:sz w:val="24"/>
                <w:szCs w:val="24"/>
                <w:lang w:val="en-US" w:eastAsia="zh-CN" w:bidi="ar"/>
              </w:rPr>
              <w:t xml:space="preserve"> Move from 5-year reviews to annual industry-led "micro-credential" updates.</w:t>
            </w:r>
          </w:p>
        </w:tc>
      </w:tr>
      <w:tr w14:paraId="78D78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FCD3F39">
            <w:pPr>
              <w:keepNext w:val="0"/>
              <w:keepLines w:val="0"/>
              <w:widowControl/>
              <w:suppressLineNumbers w:val="0"/>
              <w:spacing w:before="0" w:beforeAutospacing="0" w:line="12" w:lineRule="atLeast"/>
              <w:jc w:val="both"/>
              <w:rPr>
                <w:rFonts w:hint="default" w:ascii="Times New Roman" w:hAnsi="Times New Roman" w:eastAsia="sans-serif" w:cs="Times New Roman"/>
                <w:sz w:val="24"/>
                <w:szCs w:val="24"/>
              </w:rPr>
            </w:pPr>
            <w:r>
              <w:rPr>
                <w:rFonts w:hint="default" w:ascii="Times New Roman" w:hAnsi="Times New Roman" w:eastAsia="sans-serif" w:cs="Times New Roman"/>
                <w:b/>
                <w:bCs/>
                <w:kern w:val="0"/>
                <w:sz w:val="24"/>
                <w:szCs w:val="24"/>
                <w:lang w:val="en-US" w:eastAsia="zh-CN" w:bidi="ar"/>
              </w:rPr>
              <w:t>Outcomes:</w:t>
            </w:r>
            <w:r>
              <w:rPr>
                <w:rFonts w:hint="default" w:ascii="Times New Roman" w:hAnsi="Times New Roman" w:eastAsia="sans-serif" w:cs="Times New Roman"/>
                <w:kern w:val="0"/>
                <w:sz w:val="24"/>
                <w:szCs w:val="24"/>
                <w:lang w:val="en-US" w:eastAsia="zh-CN" w:bidi="ar"/>
              </w:rPr>
              <w:t xml:space="preserve"> Institutional Preparedness</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09D1BB5">
            <w:pPr>
              <w:keepNext w:val="0"/>
              <w:keepLines w:val="0"/>
              <w:widowControl/>
              <w:suppressLineNumbers w:val="0"/>
              <w:spacing w:before="0" w:beforeAutospacing="0" w:line="12" w:lineRule="atLeast"/>
              <w:jc w:val="both"/>
              <w:rPr>
                <w:rFonts w:hint="default" w:ascii="Times New Roman" w:hAnsi="Times New Roman" w:eastAsia="sans-serif" w:cs="Times New Roman"/>
                <w:sz w:val="24"/>
                <w:szCs w:val="24"/>
              </w:rPr>
            </w:pPr>
            <w:r>
              <w:rPr>
                <w:rFonts w:hint="default" w:ascii="Times New Roman" w:hAnsi="Times New Roman" w:eastAsia="sans-serif" w:cs="Times New Roman"/>
                <w:kern w:val="0"/>
                <w:sz w:val="24"/>
                <w:szCs w:val="24"/>
                <w:lang w:val="en-US" w:eastAsia="zh-CN" w:bidi="ar"/>
              </w:rPr>
              <w:t>Theme 3 (Infrastructural Deficit)</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8509FC2">
            <w:pPr>
              <w:keepNext w:val="0"/>
              <w:keepLines w:val="0"/>
              <w:widowControl/>
              <w:suppressLineNumbers w:val="0"/>
              <w:spacing w:before="0" w:beforeAutospacing="0" w:line="12" w:lineRule="atLeast"/>
              <w:jc w:val="both"/>
              <w:rPr>
                <w:rFonts w:hint="default" w:ascii="Times New Roman" w:hAnsi="Times New Roman" w:eastAsia="sans-serif" w:cs="Times New Roman"/>
                <w:sz w:val="24"/>
                <w:szCs w:val="24"/>
              </w:rPr>
            </w:pPr>
            <w:r>
              <w:rPr>
                <w:rFonts w:hint="default" w:ascii="Times New Roman" w:hAnsi="Times New Roman" w:eastAsia="sans-serif" w:cs="Times New Roman"/>
                <w:b/>
                <w:bCs/>
                <w:kern w:val="0"/>
                <w:sz w:val="24"/>
                <w:szCs w:val="24"/>
                <w:lang w:val="en-US" w:eastAsia="zh-CN" w:bidi="ar"/>
              </w:rPr>
              <w:t>Simulation-First Policy:</w:t>
            </w:r>
            <w:r>
              <w:rPr>
                <w:rFonts w:hint="default" w:ascii="Times New Roman" w:hAnsi="Times New Roman" w:eastAsia="sans-serif" w:cs="Times New Roman"/>
                <w:kern w:val="0"/>
                <w:sz w:val="24"/>
                <w:szCs w:val="24"/>
                <w:lang w:val="en-US" w:eastAsia="zh-CN" w:bidi="ar"/>
              </w:rPr>
              <w:t xml:space="preserve"> Prioritize funding for VR/AR labs to bypass power/hardware gaps.</w:t>
            </w:r>
          </w:p>
        </w:tc>
      </w:tr>
      <w:tr w14:paraId="3454A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A2AEDF6">
            <w:pPr>
              <w:keepNext w:val="0"/>
              <w:keepLines w:val="0"/>
              <w:widowControl/>
              <w:suppressLineNumbers w:val="0"/>
              <w:spacing w:before="0" w:beforeAutospacing="0" w:line="12" w:lineRule="atLeast"/>
              <w:jc w:val="both"/>
              <w:rPr>
                <w:rFonts w:hint="default" w:ascii="Times New Roman" w:hAnsi="Times New Roman" w:eastAsia="sans-serif" w:cs="Times New Roman"/>
                <w:sz w:val="24"/>
                <w:szCs w:val="24"/>
              </w:rPr>
            </w:pPr>
            <w:r>
              <w:rPr>
                <w:rFonts w:hint="default" w:ascii="Times New Roman" w:hAnsi="Times New Roman" w:eastAsia="sans-serif" w:cs="Times New Roman"/>
                <w:b/>
                <w:bCs/>
                <w:kern w:val="0"/>
                <w:sz w:val="24"/>
                <w:szCs w:val="24"/>
                <w:lang w:val="en-US" w:eastAsia="zh-CN" w:bidi="ar"/>
              </w:rPr>
              <w:t>Feedback Loop:</w:t>
            </w:r>
            <w:r>
              <w:rPr>
                <w:rFonts w:hint="default" w:ascii="Times New Roman" w:hAnsi="Times New Roman" w:eastAsia="sans-serif" w:cs="Times New Roman"/>
                <w:kern w:val="0"/>
                <w:sz w:val="24"/>
                <w:szCs w:val="24"/>
                <w:lang w:val="en-US" w:eastAsia="zh-CN" w:bidi="ar"/>
              </w:rPr>
              <w:t xml:space="preserve"> Industry Validation</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3364B18">
            <w:pPr>
              <w:keepNext w:val="0"/>
              <w:keepLines w:val="0"/>
              <w:widowControl/>
              <w:suppressLineNumbers w:val="0"/>
              <w:spacing w:before="0" w:beforeAutospacing="0" w:line="12" w:lineRule="atLeast"/>
              <w:jc w:val="both"/>
              <w:rPr>
                <w:rFonts w:hint="default" w:ascii="Times New Roman" w:hAnsi="Times New Roman" w:eastAsia="sans-serif" w:cs="Times New Roman"/>
                <w:sz w:val="24"/>
                <w:szCs w:val="24"/>
              </w:rPr>
            </w:pPr>
            <w:r>
              <w:rPr>
                <w:rFonts w:hint="default" w:ascii="Times New Roman" w:hAnsi="Times New Roman" w:eastAsia="sans-serif" w:cs="Times New Roman"/>
                <w:kern w:val="0"/>
                <w:sz w:val="24"/>
                <w:szCs w:val="24"/>
                <w:lang w:val="en-US" w:eastAsia="zh-CN" w:bidi="ar"/>
              </w:rPr>
              <w:t>Theme 6 (Synergy)</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4E95F20">
            <w:pPr>
              <w:keepNext w:val="0"/>
              <w:keepLines w:val="0"/>
              <w:widowControl/>
              <w:suppressLineNumbers w:val="0"/>
              <w:spacing w:before="0" w:beforeAutospacing="0" w:line="12" w:lineRule="atLeast"/>
              <w:jc w:val="both"/>
              <w:rPr>
                <w:rFonts w:hint="default" w:ascii="Times New Roman" w:hAnsi="Times New Roman" w:eastAsia="sans-serif" w:cs="Times New Roman"/>
                <w:sz w:val="24"/>
                <w:szCs w:val="24"/>
              </w:rPr>
            </w:pPr>
            <w:r>
              <w:rPr>
                <w:rFonts w:hint="default" w:ascii="Times New Roman" w:hAnsi="Times New Roman" w:eastAsia="sans-serif" w:cs="Times New Roman"/>
                <w:b/>
                <w:bCs/>
                <w:kern w:val="0"/>
                <w:sz w:val="24"/>
                <w:szCs w:val="24"/>
                <w:lang w:val="en-US" w:eastAsia="zh-CN" w:bidi="ar"/>
              </w:rPr>
              <w:t>Mandatory Immersion:</w:t>
            </w:r>
            <w:r>
              <w:rPr>
                <w:rFonts w:hint="default" w:ascii="Times New Roman" w:hAnsi="Times New Roman" w:eastAsia="sans-serif" w:cs="Times New Roman"/>
                <w:kern w:val="0"/>
                <w:sz w:val="24"/>
                <w:szCs w:val="24"/>
                <w:lang w:val="en-US" w:eastAsia="zh-CN" w:bidi="ar"/>
              </w:rPr>
              <w:t xml:space="preserve"> Legislation requiring technical staff to spend 1 month/year in a private-sector smart factory.</w:t>
            </w:r>
          </w:p>
        </w:tc>
      </w:tr>
    </w:tbl>
    <w:p w14:paraId="1004E576">
      <w:pPr>
        <w:pStyle w:val="4"/>
        <w:keepNext w:val="0"/>
        <w:keepLines w:val="0"/>
        <w:widowControl/>
        <w:suppressLineNumbers w:val="0"/>
        <w:spacing w:before="0" w:beforeAutospacing="0" w:line="12" w:lineRule="atLeast"/>
        <w:jc w:val="both"/>
        <w:rPr>
          <w:rFonts w:hint="default" w:ascii="Times New Roman" w:hAnsi="Times New Roman" w:eastAsia="sans-serif" w:cs="Times New Roman"/>
          <w:b/>
          <w:bCs/>
          <w:sz w:val="24"/>
          <w:szCs w:val="24"/>
        </w:rPr>
      </w:pPr>
    </w:p>
    <w:p w14:paraId="4D3F053F">
      <w:pPr>
        <w:pStyle w:val="4"/>
        <w:keepNext w:val="0"/>
        <w:keepLines w:val="0"/>
        <w:widowControl/>
        <w:suppressLineNumbers w:val="0"/>
        <w:spacing w:before="0" w:beforeAutospacing="0" w:line="12" w:lineRule="atLeast"/>
        <w:jc w:val="both"/>
        <w:rPr>
          <w:rFonts w:hint="default" w:ascii="Times New Roman" w:hAnsi="Times New Roman" w:eastAsia="sans-serif" w:cs="Times New Roman"/>
          <w:sz w:val="24"/>
          <w:szCs w:val="24"/>
        </w:rPr>
      </w:pPr>
      <w:r>
        <w:rPr>
          <w:rFonts w:hint="default" w:ascii="Times New Roman" w:hAnsi="Times New Roman" w:eastAsia="sans-serif" w:cs="Times New Roman"/>
          <w:b/>
          <w:bCs/>
          <w:sz w:val="24"/>
          <w:szCs w:val="24"/>
        </w:rPr>
        <w:t>Conclusion</w:t>
      </w:r>
    </w:p>
    <w:p w14:paraId="75296365">
      <w:pPr>
        <w:pStyle w:val="9"/>
        <w:keepNext w:val="0"/>
        <w:keepLines w:val="0"/>
        <w:widowControl/>
        <w:suppressLineNumbers w:val="0"/>
        <w:spacing w:before="0" w:beforeAutospacing="0" w:line="360" w:lineRule="auto"/>
        <w:ind w:firstLine="480" w:firstLineChars="200"/>
        <w:jc w:val="both"/>
        <w:rPr>
          <w:rFonts w:hint="default" w:ascii="Times New Roman" w:hAnsi="Times New Roman" w:eastAsia="sans-serif" w:cs="Times New Roman"/>
          <w:sz w:val="24"/>
          <w:szCs w:val="24"/>
        </w:rPr>
      </w:pPr>
      <w:r>
        <w:rPr>
          <w:rFonts w:hint="default" w:ascii="Times New Roman" w:hAnsi="Times New Roman" w:eastAsia="sans-serif" w:cs="Times New Roman"/>
          <w:sz w:val="24"/>
          <w:szCs w:val="24"/>
        </w:rPr>
        <w:t>Nigeria’s TVET sector must move beyond "analog administration." By addressing the administrative bottleneck and empowering educators with digital fluency, the system can ensure graduates are the architects of the Fourth Industrial Revolution, not its victims.</w:t>
      </w:r>
    </w:p>
    <w:p w14:paraId="08F2F1DE">
      <w:pPr>
        <w:spacing w:before="100" w:beforeAutospacing="1" w:after="100" w:afterAutospacing="1" w:line="360" w:lineRule="auto"/>
        <w:jc w:val="both"/>
        <w:rPr>
          <w:rFonts w:hint="default" w:ascii="Times New Roman" w:hAnsi="Times New Roman" w:eastAsia="Times New Roman" w:cs="Times New Roman"/>
          <w:b/>
          <w:kern w:val="0"/>
          <w:sz w:val="24"/>
          <w:szCs w:val="24"/>
        </w:rPr>
      </w:pPr>
      <w:r>
        <w:rPr>
          <w:rFonts w:hint="default" w:ascii="Times New Roman" w:hAnsi="Times New Roman" w:eastAsia="Times New Roman" w:cs="Times New Roman"/>
          <w:b/>
          <w:kern w:val="0"/>
          <w:sz w:val="24"/>
          <w:szCs w:val="24"/>
        </w:rPr>
        <w:t>References</w:t>
      </w:r>
    </w:p>
    <w:p w14:paraId="0E36E0E9">
      <w:pPr>
        <w:numPr>
          <w:ilvl w:val="0"/>
          <w:numId w:val="7"/>
        </w:numPr>
        <w:spacing w:before="100" w:beforeAutospacing="1" w:after="100" w:afterAutospacing="1" w:line="360" w:lineRule="auto"/>
        <w:ind w:left="425" w:leftChars="0" w:hanging="425" w:firstLineChars="0"/>
        <w:jc w:val="both"/>
        <w:rPr>
          <w:rFonts w:hint="default" w:ascii="Times New Roman" w:hAnsi="Times New Roman" w:eastAsia="Times New Roman" w:cs="Times New Roman"/>
          <w:b/>
          <w:kern w:val="0"/>
          <w:sz w:val="24"/>
          <w:szCs w:val="24"/>
        </w:rPr>
      </w:pPr>
      <w:r>
        <w:rPr>
          <w:rFonts w:hint="default" w:ascii="Times New Roman" w:hAnsi="Times New Roman" w:eastAsia="Times New Roman" w:cs="Times New Roman"/>
          <w:kern w:val="0"/>
          <w:sz w:val="24"/>
          <w:szCs w:val="24"/>
        </w:rPr>
        <w:t>Bahl, R. (2020). Vocational Education and Training in Germany: A Model for Dual-System Learning.</w:t>
      </w:r>
    </w:p>
    <w:p w14:paraId="175C6235">
      <w:pPr>
        <w:numPr>
          <w:ilvl w:val="0"/>
          <w:numId w:val="7"/>
        </w:numPr>
        <w:spacing w:before="100" w:beforeAutospacing="1" w:after="100" w:afterAutospacing="1" w:line="360" w:lineRule="auto"/>
        <w:ind w:left="425" w:leftChars="0" w:hanging="425" w:firstLineChars="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Benešová, A., &amp; Tupa, J. (2017). Requirements for Education and Qualification of People in Industry 4.0. Procedia Manufacturing, 11, 1686-1692.</w:t>
      </w:r>
    </w:p>
    <w:p w14:paraId="3398BD28">
      <w:pPr>
        <w:numPr>
          <w:ilvl w:val="0"/>
          <w:numId w:val="7"/>
        </w:numPr>
        <w:spacing w:before="100" w:beforeAutospacing="1" w:after="100" w:afterAutospacing="1" w:line="360" w:lineRule="auto"/>
        <w:ind w:left="425" w:leftChars="0" w:hanging="425" w:firstLineChars="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Braun, V., &amp; Clarke, V. (2006). Using thematic analysis in psychology. Qualitative Research in Psychology, 3(2), 77-101.</w:t>
      </w:r>
    </w:p>
    <w:p w14:paraId="3C01D8F9">
      <w:pPr>
        <w:numPr>
          <w:ilvl w:val="0"/>
          <w:numId w:val="7"/>
        </w:numPr>
        <w:spacing w:before="100" w:beforeAutospacing="1" w:after="100" w:afterAutospacing="1" w:line="360" w:lineRule="auto"/>
        <w:ind w:left="425" w:leftChars="0" w:hanging="425" w:firstLineChars="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Chryssolouris, G., Mavrikios, D., &amp; Papakostas, M. (2018). Digital Transformation in Education: Challenges and Opportunities for Industry 4.0.</w:t>
      </w:r>
    </w:p>
    <w:p w14:paraId="29455F4C">
      <w:pPr>
        <w:numPr>
          <w:ilvl w:val="0"/>
          <w:numId w:val="7"/>
        </w:numPr>
        <w:spacing w:before="100" w:beforeAutospacing="1" w:after="100" w:afterAutospacing="1" w:line="360" w:lineRule="auto"/>
        <w:ind w:left="425" w:leftChars="0" w:hanging="425" w:firstLineChars="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Davies, R., Brown, P., &amp; Lee, J. (2017). Technology Acceptance in Vocational Education: A Study of TVET Educators. Journal of Educational Technology &amp; Society, 20(3), 123-135.</w:t>
      </w:r>
    </w:p>
    <w:p w14:paraId="70FE8E05">
      <w:pPr>
        <w:numPr>
          <w:ilvl w:val="0"/>
          <w:numId w:val="7"/>
        </w:numPr>
        <w:spacing w:before="100" w:beforeAutospacing="1" w:after="100" w:afterAutospacing="1" w:line="360" w:lineRule="auto"/>
        <w:ind w:left="425" w:leftChars="0" w:hanging="425" w:firstLineChars="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Heisig, P., Richter, A., &amp; Peters, L. (2020). The Role of Continuous Professional Development in Enhancing TVET Educators' Readiness for Industry 4.0. International Journal for Research in Vocational Education and Training, 7(3), 254-271.</w:t>
      </w:r>
    </w:p>
    <w:p w14:paraId="6A1350E2">
      <w:pPr>
        <w:numPr>
          <w:ilvl w:val="0"/>
          <w:numId w:val="7"/>
        </w:numPr>
        <w:spacing w:before="100" w:beforeAutospacing="1" w:after="100" w:afterAutospacing="1" w:line="360" w:lineRule="auto"/>
        <w:ind w:left="425" w:leftChars="0" w:hanging="425" w:firstLineChars="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 xml:space="preserve">ILO. (2019). The Future of Work: A Global Initiative. </w:t>
      </w:r>
      <w:r>
        <w:rPr>
          <w:rFonts w:hint="default" w:ascii="Times New Roman" w:hAnsi="Times New Roman" w:cs="Times New Roman"/>
          <w:sz w:val="24"/>
          <w:szCs w:val="24"/>
        </w:rPr>
        <w:t>ILO Publications.</w:t>
      </w:r>
    </w:p>
    <w:p w14:paraId="1325E525">
      <w:pPr>
        <w:numPr>
          <w:ilvl w:val="0"/>
          <w:numId w:val="7"/>
        </w:numPr>
        <w:spacing w:before="100" w:beforeAutospacing="1" w:after="100" w:afterAutospacing="1" w:line="360" w:lineRule="auto"/>
        <w:ind w:left="425" w:leftChars="0" w:hanging="425" w:firstLineChars="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Jeon, S. H., &amp; Kim, Y. (2019). Implementation of Industry 4.0 in South Korean TVET Institutions: Challenges and Opportunities. Journal of Vocational Education &amp; Training, 71(4), 543-561.</w:t>
      </w:r>
    </w:p>
    <w:p w14:paraId="78F21A72">
      <w:pPr>
        <w:numPr>
          <w:ilvl w:val="0"/>
          <w:numId w:val="7"/>
        </w:numPr>
        <w:spacing w:before="100" w:beforeAutospacing="1" w:after="100" w:afterAutospacing="1" w:line="360" w:lineRule="auto"/>
        <w:ind w:left="425" w:leftChars="0" w:hanging="425" w:firstLineChars="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Jones, R., Smith, L., &amp; Chen, H. (2021). Transforming TVET Curricula for Industry 4.0: Opportunities and Strategies. Journal of Technical Education and Training, 13(2), 87-102.</w:t>
      </w:r>
    </w:p>
    <w:p w14:paraId="09B46D7D">
      <w:pPr>
        <w:numPr>
          <w:ilvl w:val="0"/>
          <w:numId w:val="7"/>
        </w:numPr>
        <w:spacing w:before="100" w:beforeAutospacing="1" w:after="100" w:afterAutospacing="1" w:line="360" w:lineRule="auto"/>
        <w:ind w:left="425" w:leftChars="0" w:hanging="425" w:firstLineChars="0"/>
        <w:jc w:val="both"/>
        <w:rPr>
          <w:rFonts w:hint="default" w:ascii="Times New Roman" w:hAnsi="Times New Roman" w:eastAsia="Times New Roman" w:cs="Times New Roman"/>
          <w:kern w:val="0"/>
          <w:sz w:val="24"/>
          <w:szCs w:val="24"/>
        </w:rPr>
      </w:pPr>
      <w:r>
        <w:rPr>
          <w:rFonts w:hint="default" w:ascii="Times New Roman" w:hAnsi="Times New Roman" w:cs="Times New Roman"/>
          <w:b w:val="0"/>
          <w:bCs w:val="0"/>
          <w:sz w:val="24"/>
          <w:szCs w:val="24"/>
        </w:rPr>
        <w:t>Kagermann, H. (2015).</w:t>
      </w:r>
      <w:r>
        <w:rPr>
          <w:rFonts w:hint="default" w:ascii="Times New Roman" w:hAnsi="Times New Roman" w:cs="Times New Roman"/>
          <w:sz w:val="24"/>
          <w:szCs w:val="24"/>
        </w:rPr>
        <w:t xml:space="preserve"> </w:t>
      </w:r>
      <w:r>
        <w:rPr>
          <w:rFonts w:hint="default" w:ascii="Times New Roman" w:hAnsi="Times New Roman" w:cs="Times New Roman"/>
          <w:i/>
          <w:iCs/>
          <w:sz w:val="24"/>
          <w:szCs w:val="24"/>
        </w:rPr>
        <w:t>Change through digitization—Value creation in the age of Industry 4.0.</w:t>
      </w:r>
      <w:r>
        <w:rPr>
          <w:rFonts w:hint="default" w:ascii="Times New Roman" w:hAnsi="Times New Roman" w:cs="Times New Roman"/>
          <w:sz w:val="24"/>
          <w:szCs w:val="24"/>
        </w:rPr>
        <w:t xml:space="preserve"> In H. Friesewinkel (Ed.), Management of Permanent Change (pp. 23-45). Springer Gabler.</w:t>
      </w:r>
    </w:p>
    <w:p w14:paraId="495FE866">
      <w:pPr>
        <w:numPr>
          <w:ilvl w:val="0"/>
          <w:numId w:val="7"/>
        </w:numPr>
        <w:spacing w:before="100" w:beforeAutospacing="1" w:after="100" w:afterAutospacing="1" w:line="360" w:lineRule="auto"/>
        <w:ind w:left="425" w:leftChars="0" w:hanging="425" w:firstLineChars="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Kim, Y. (2019). TVET Reforms in South Korea: Preparing for the Fourth Industrial Revolution.</w:t>
      </w:r>
    </w:p>
    <w:p w14:paraId="61DB1290">
      <w:pPr>
        <w:numPr>
          <w:ilvl w:val="0"/>
          <w:numId w:val="7"/>
        </w:numPr>
        <w:spacing w:before="100" w:beforeAutospacing="1" w:after="100" w:afterAutospacing="1" w:line="360" w:lineRule="auto"/>
        <w:ind w:left="425" w:leftChars="0" w:hanging="425" w:firstLineChars="0"/>
        <w:jc w:val="both"/>
        <w:rPr>
          <w:rFonts w:hint="default" w:ascii="Times New Roman" w:hAnsi="Times New Roman" w:eastAsia="Times New Roman" w:cs="Times New Roman"/>
          <w:kern w:val="0"/>
          <w:sz w:val="24"/>
          <w:szCs w:val="24"/>
        </w:rPr>
      </w:pPr>
      <w:r>
        <w:rPr>
          <w:rFonts w:hint="default" w:ascii="Times New Roman" w:hAnsi="Times New Roman" w:cs="Times New Roman"/>
          <w:b w:val="0"/>
          <w:bCs w:val="0"/>
          <w:sz w:val="24"/>
          <w:szCs w:val="24"/>
        </w:rPr>
        <w:t>Lasi, H., Fettke, P., Kemper, H. G., Feld, T., &amp; Hoffmann, M. (2014).</w:t>
      </w:r>
      <w:r>
        <w:rPr>
          <w:rFonts w:hint="default" w:ascii="Times New Roman" w:hAnsi="Times New Roman" w:cs="Times New Roman"/>
          <w:sz w:val="24"/>
          <w:szCs w:val="24"/>
        </w:rPr>
        <w:t xml:space="preserve"> Industry 4.0. </w:t>
      </w:r>
      <w:r>
        <w:rPr>
          <w:rFonts w:hint="default" w:ascii="Times New Roman" w:hAnsi="Times New Roman" w:cs="Times New Roman"/>
          <w:i/>
          <w:iCs/>
          <w:sz w:val="24"/>
          <w:szCs w:val="24"/>
        </w:rPr>
        <w:t>Business &amp; Information Systems Engineering, 6</w:t>
      </w:r>
      <w:r>
        <w:rPr>
          <w:rFonts w:hint="default" w:ascii="Times New Roman" w:hAnsi="Times New Roman" w:cs="Times New Roman"/>
          <w:sz w:val="24"/>
          <w:szCs w:val="24"/>
        </w:rPr>
        <w:t xml:space="preserve">(4), 239-242.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"https://doi.org/10.1007/s12599-014-0334-4" \t "_blank" </w:instrText>
      </w:r>
      <w:r>
        <w:rPr>
          <w:rFonts w:hint="default" w:ascii="Times New Roman" w:hAnsi="Times New Roman" w:cs="Times New Roman"/>
          <w:sz w:val="24"/>
          <w:szCs w:val="24"/>
        </w:rPr>
        <w:fldChar w:fldCharType="separate"/>
      </w:r>
      <w:r>
        <w:rPr>
          <w:rStyle w:val="8"/>
          <w:rFonts w:hint="default" w:ascii="Times New Roman" w:hAnsi="Times New Roman" w:cs="Times New Roman"/>
          <w:sz w:val="24"/>
          <w:szCs w:val="24"/>
        </w:rPr>
        <w:t>https://doi.org/10.1007/s12599-014-0334-4</w:t>
      </w:r>
      <w:r>
        <w:rPr>
          <w:rFonts w:hint="default" w:ascii="Times New Roman" w:hAnsi="Times New Roman" w:cs="Times New Roman"/>
          <w:sz w:val="24"/>
          <w:szCs w:val="24"/>
        </w:rPr>
        <w:fldChar w:fldCharType="end"/>
      </w:r>
    </w:p>
    <w:p w14:paraId="264E0E67">
      <w:pPr>
        <w:numPr>
          <w:ilvl w:val="0"/>
          <w:numId w:val="7"/>
        </w:numPr>
        <w:spacing w:before="100" w:beforeAutospacing="1" w:after="100" w:afterAutospacing="1" w:line="360" w:lineRule="auto"/>
        <w:ind w:left="425" w:leftChars="0" w:hanging="425" w:firstLineChars="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Liu, Y., Li, Z., &amp; Gao, J. (2019). Educator Competencies for Industry 4.0: A Literature Review.</w:t>
      </w:r>
    </w:p>
    <w:p w14:paraId="33B2D006">
      <w:pPr>
        <w:numPr>
          <w:ilvl w:val="0"/>
          <w:numId w:val="7"/>
        </w:numPr>
        <w:spacing w:before="100" w:beforeAutospacing="1" w:after="100" w:afterAutospacing="1" w:line="360" w:lineRule="auto"/>
        <w:ind w:left="425" w:leftChars="0" w:hanging="425" w:firstLineChars="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McKinsey Global Institute. (2017). Jobs Lost, Jobs Gained: Workforce Transitions in a Time of Automation.</w:t>
      </w:r>
    </w:p>
    <w:p w14:paraId="125E630F">
      <w:pPr>
        <w:numPr>
          <w:ilvl w:val="0"/>
          <w:numId w:val="7"/>
        </w:numPr>
        <w:spacing w:before="100" w:beforeAutospacing="1" w:after="100" w:afterAutospacing="1" w:line="360" w:lineRule="auto"/>
        <w:ind w:left="425" w:leftChars="0" w:hanging="425" w:firstLineChars="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Miller, C., &amp; Griffiths, D. (2018). Competency-Based Education and Industry 4.0: Aligning TVET Curricula with Workforce Demands. Journal of Vocational Education Research, 43(1), 45-62.</w:t>
      </w:r>
    </w:p>
    <w:p w14:paraId="46172106">
      <w:pPr>
        <w:numPr>
          <w:ilvl w:val="0"/>
          <w:numId w:val="7"/>
        </w:numPr>
        <w:spacing w:before="100" w:beforeAutospacing="1" w:after="100" w:afterAutospacing="1" w:line="360" w:lineRule="auto"/>
        <w:ind w:left="425" w:leftChars="0" w:hanging="425" w:firstLineChars="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Okolie, U. C., Nwajiuba, C. A., &amp; Agbonifor, E. A. (2021). Technical and Vocational Education and Training (TVET) in the Era of Industry 4.0: Challenges and Opportunities in Nigeria. International Journal of Vocational and Technical Education, 13(1), 1-10.</w:t>
      </w:r>
    </w:p>
    <w:p w14:paraId="5A2118A9">
      <w:pPr>
        <w:pStyle w:val="9"/>
        <w:numPr>
          <w:ilvl w:val="0"/>
          <w:numId w:val="7"/>
        </w:numPr>
        <w:spacing w:line="360" w:lineRule="auto"/>
        <w:ind w:left="425" w:lef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Organisation for Economic Co-operation and Development (OECD). (2019). </w:t>
      </w:r>
      <w:r>
        <w:rPr>
          <w:rStyle w:val="7"/>
          <w:rFonts w:hint="default" w:ascii="Times New Roman" w:hAnsi="Times New Roman" w:cs="Times New Roman"/>
          <w:sz w:val="24"/>
          <w:szCs w:val="24"/>
        </w:rPr>
        <w:t>OECD skills strategy 2019: Skills to shape a better future</w:t>
      </w:r>
      <w:r>
        <w:rPr>
          <w:rFonts w:hint="default" w:ascii="Times New Roman" w:hAnsi="Times New Roman" w:cs="Times New Roman"/>
          <w:sz w:val="24"/>
          <w:szCs w:val="24"/>
        </w:rPr>
        <w:t xml:space="preserve">. OECD Publishing.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"https://doi.org/10.1787/9789264313835-en" \t "_new" </w:instrText>
      </w:r>
      <w:r>
        <w:rPr>
          <w:rFonts w:hint="default" w:ascii="Times New Roman" w:hAnsi="Times New Roman" w:cs="Times New Roman"/>
          <w:sz w:val="24"/>
          <w:szCs w:val="24"/>
        </w:rPr>
        <w:fldChar w:fldCharType="separate"/>
      </w:r>
      <w:r>
        <w:rPr>
          <w:rStyle w:val="8"/>
          <w:rFonts w:hint="default" w:ascii="Times New Roman" w:hAnsi="Times New Roman" w:cs="Times New Roman"/>
          <w:color w:val="auto"/>
          <w:sz w:val="24"/>
          <w:szCs w:val="24"/>
        </w:rPr>
        <w:t>https://doi.org/10.1787/9789264313835-en</w:t>
      </w:r>
      <w:r>
        <w:rPr>
          <w:rStyle w:val="8"/>
          <w:rFonts w:hint="default" w:ascii="Times New Roman" w:hAnsi="Times New Roman" w:cs="Times New Roman"/>
          <w:color w:val="auto"/>
          <w:sz w:val="24"/>
          <w:szCs w:val="24"/>
        </w:rPr>
        <w:fldChar w:fldCharType="end"/>
      </w:r>
    </w:p>
    <w:p w14:paraId="39F1A284">
      <w:pPr>
        <w:numPr>
          <w:ilvl w:val="0"/>
          <w:numId w:val="7"/>
        </w:numPr>
        <w:spacing w:before="100" w:beforeAutospacing="1" w:after="100" w:afterAutospacing="1" w:line="360" w:lineRule="auto"/>
        <w:ind w:left="425" w:leftChars="0" w:hanging="425" w:firstLineChars="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Pham, T. L., Do, T. P., &amp; Nguyen, T. T. (2020). Factors Influencing the Acceptance of Industry 4.0 Technologies Among TVET Educators. Journal of Science and Technology in Education, 2(1), 1-15.</w:t>
      </w:r>
    </w:p>
    <w:p w14:paraId="287CF08E">
      <w:pPr>
        <w:numPr>
          <w:ilvl w:val="0"/>
          <w:numId w:val="7"/>
        </w:numPr>
        <w:spacing w:before="100" w:beforeAutospacing="1" w:after="100" w:afterAutospacing="1" w:line="360" w:lineRule="auto"/>
        <w:ind w:left="425" w:leftChars="0" w:hanging="425" w:firstLineChars="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Prause, M., &amp; Atari, S. (2021). Barriers to Industry 4.0 Adoption in Vocational Education. Journal of Industry 4.0, 1(1), 1-14.</w:t>
      </w:r>
    </w:p>
    <w:p w14:paraId="31384FC6">
      <w:pPr>
        <w:numPr>
          <w:ilvl w:val="0"/>
          <w:numId w:val="7"/>
        </w:numPr>
        <w:spacing w:before="100" w:beforeAutospacing="1" w:after="100" w:afterAutospacing="1" w:line="360" w:lineRule="auto"/>
        <w:ind w:left="425" w:leftChars="0" w:hanging="425" w:firstLineChars="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Rojko, A. (2017). Industry 4.0 Concept: A General Overview. International Journal of Interactive Mobile Technologies (iJIM), 11(6), 77-82.</w:t>
      </w:r>
    </w:p>
    <w:p w14:paraId="69DFCF55">
      <w:pPr>
        <w:numPr>
          <w:ilvl w:val="0"/>
          <w:numId w:val="7"/>
        </w:numPr>
        <w:spacing w:before="100" w:beforeAutospacing="1" w:after="100" w:afterAutospacing="1" w:line="360" w:lineRule="auto"/>
        <w:ind w:left="425" w:leftChars="0" w:hanging="425" w:firstLineChars="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Schwab, K. (2017). The Fourth Industrial Revolution. Crown Business.</w:t>
      </w:r>
    </w:p>
    <w:p w14:paraId="4AB6CD49">
      <w:pPr>
        <w:numPr>
          <w:ilvl w:val="0"/>
          <w:numId w:val="7"/>
        </w:numPr>
        <w:spacing w:before="100" w:beforeAutospacing="1" w:after="100" w:afterAutospacing="1" w:line="360" w:lineRule="auto"/>
        <w:ind w:left="425" w:leftChars="0" w:hanging="425" w:firstLineChars="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Sivakumar, P., &amp; Bhattacharya, S. (2019). Challenges in Implementing Competency-Based Education for Industry 4.0 in TVET Institutions. Journal of Engineering Education Transformations, 33(1), 1-8.</w:t>
      </w:r>
    </w:p>
    <w:p w14:paraId="21FE76DE">
      <w:pPr>
        <w:numPr>
          <w:ilvl w:val="0"/>
          <w:numId w:val="7"/>
        </w:numPr>
        <w:spacing w:before="100" w:beforeAutospacing="1" w:after="100" w:afterAutospacing="1" w:line="360" w:lineRule="auto"/>
        <w:ind w:left="425" w:leftChars="0" w:hanging="425" w:firstLineChars="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Soomro, B. A., Hameed, F. A., &amp; Sarwat, N. (2019). Professional Development Needs of TVET Educators in the Context of Industry 4.0. Journal of Education and Training Studies, 7(10), 1-10.</w:t>
      </w:r>
    </w:p>
    <w:p w14:paraId="3A4E7747">
      <w:pPr>
        <w:numPr>
          <w:ilvl w:val="0"/>
          <w:numId w:val="7"/>
        </w:numPr>
        <w:spacing w:before="100" w:beforeAutospacing="1" w:after="100" w:afterAutospacing="1" w:line="360" w:lineRule="auto"/>
        <w:ind w:left="425" w:leftChars="0" w:hanging="425" w:firstLineChars="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Spath, D., Ganschar, O., Gerlach, S., Hämmerle, M., Krause, T., &amp; Schlund, S. (2013). Produktionsarbeit der Zukunft - Industrie 4.0. Fraunhofer Verlag.</w:t>
      </w:r>
    </w:p>
    <w:p w14:paraId="06EA4FA4">
      <w:pPr>
        <w:numPr>
          <w:ilvl w:val="0"/>
          <w:numId w:val="7"/>
        </w:numPr>
        <w:spacing w:before="100" w:beforeAutospacing="1" w:after="100" w:afterAutospacing="1" w:line="360" w:lineRule="auto"/>
        <w:ind w:left="425" w:leftChars="0" w:hanging="425" w:firstLineChars="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Topol, E. J. (2019). Deep Medicine: How Artificial Intelligence Can Make Healthcare Human Again. Basic Books.</w:t>
      </w:r>
    </w:p>
    <w:p w14:paraId="1F8D4B6F">
      <w:pPr>
        <w:pStyle w:val="9"/>
        <w:numPr>
          <w:ilvl w:val="0"/>
          <w:numId w:val="7"/>
        </w:numPr>
        <w:spacing w:line="360" w:lineRule="auto"/>
        <w:ind w:left="425" w:lef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UNESCO. (2018). </w:t>
      </w:r>
      <w:r>
        <w:rPr>
          <w:rStyle w:val="7"/>
          <w:rFonts w:hint="default" w:ascii="Times New Roman" w:hAnsi="Times New Roman" w:cs="Times New Roman"/>
          <w:sz w:val="24"/>
          <w:szCs w:val="24"/>
        </w:rPr>
        <w:t>Education for sustainable development: Towards achieving the SDGs</w:t>
      </w:r>
      <w:r>
        <w:rPr>
          <w:rFonts w:hint="default" w:ascii="Times New Roman" w:hAnsi="Times New Roman" w:cs="Times New Roman"/>
          <w:sz w:val="24"/>
          <w:szCs w:val="24"/>
        </w:rPr>
        <w:t>. UNESCO Publishing.</w:t>
      </w:r>
    </w:p>
    <w:p w14:paraId="554E6657">
      <w:pPr>
        <w:numPr>
          <w:ilvl w:val="0"/>
          <w:numId w:val="7"/>
        </w:numPr>
        <w:spacing w:before="100" w:beforeAutospacing="1" w:after="100" w:afterAutospacing="1" w:line="360" w:lineRule="auto"/>
        <w:ind w:left="425" w:leftChars="0" w:hanging="425" w:firstLineChars="0"/>
        <w:jc w:val="both"/>
        <w:rPr>
          <w:rFonts w:hint="default" w:ascii="Times New Roman" w:hAnsi="Times New Roman" w:eastAsia="Times New Roman" w:cs="Times New Roman"/>
          <w:kern w:val="0"/>
          <w:sz w:val="24"/>
          <w:szCs w:val="24"/>
        </w:rPr>
      </w:pPr>
      <w:r>
        <w:rPr>
          <w:rFonts w:hint="default" w:ascii="Times New Roman" w:hAnsi="Times New Roman" w:eastAsia="Times New Roman" w:cs="Times New Roman"/>
          <w:kern w:val="0"/>
          <w:sz w:val="24"/>
          <w:szCs w:val="24"/>
        </w:rPr>
        <w:t>UNESCO-UNEVOC. (2019). Skills for a Digital World.</w:t>
      </w:r>
    </w:p>
    <w:p w14:paraId="7B7AAA81">
      <w:pPr>
        <w:pStyle w:val="9"/>
        <w:numPr>
          <w:ilvl w:val="0"/>
          <w:numId w:val="7"/>
        </w:numPr>
        <w:spacing w:line="360" w:lineRule="auto"/>
        <w:ind w:left="425" w:leftChars="0" w:hanging="425" w:firstLineChars="0"/>
        <w:jc w:val="both"/>
        <w:rPr>
          <w:rFonts w:hint="default" w:ascii="Times New Roman" w:hAnsi="Times New Roman" w:cs="Times New Roman"/>
          <w:sz w:val="24"/>
          <w:szCs w:val="24"/>
        </w:rPr>
      </w:pPr>
      <w:r>
        <w:rPr>
          <w:rFonts w:hint="default" w:ascii="Times New Roman" w:hAnsi="Times New Roman" w:cs="Times New Roman"/>
          <w:b w:val="0"/>
          <w:bCs w:val="0"/>
          <w:sz w:val="24"/>
          <w:szCs w:val="24"/>
        </w:rPr>
        <w:t>World Economic Forum. (2018).</w:t>
      </w:r>
      <w:r>
        <w:rPr>
          <w:rFonts w:hint="default" w:ascii="Times New Roman" w:hAnsi="Times New Roman" w:cs="Times New Roman"/>
          <w:sz w:val="24"/>
          <w:szCs w:val="24"/>
        </w:rPr>
        <w:t xml:space="preserve"> </w:t>
      </w:r>
      <w:r>
        <w:rPr>
          <w:rFonts w:hint="default" w:ascii="Times New Roman" w:hAnsi="Times New Roman" w:cs="Times New Roman"/>
          <w:i/>
          <w:iCs/>
          <w:sz w:val="24"/>
          <w:szCs w:val="24"/>
        </w:rPr>
        <w:t>The Future of Jobs Report 2018.</w:t>
      </w:r>
      <w:r>
        <w:rPr>
          <w:rFonts w:hint="default" w:ascii="Times New Roman" w:hAnsi="Times New Roman" w:cs="Times New Roman"/>
          <w:sz w:val="24"/>
          <w:szCs w:val="24"/>
        </w:rPr>
        <w:t xml:space="preserve"> World Economic Forum.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"https://www.weforum.org/reports/the-future-of-jobs-report-2018" \t "_blank" </w:instrText>
      </w:r>
      <w:r>
        <w:rPr>
          <w:rFonts w:hint="default" w:ascii="Times New Roman" w:hAnsi="Times New Roman" w:cs="Times New Roman"/>
          <w:sz w:val="24"/>
          <w:szCs w:val="24"/>
        </w:rPr>
        <w:fldChar w:fldCharType="separate"/>
      </w:r>
      <w:r>
        <w:rPr>
          <w:rStyle w:val="8"/>
          <w:rFonts w:hint="default" w:ascii="Times New Roman" w:hAnsi="Times New Roman" w:cs="Times New Roman"/>
          <w:sz w:val="24"/>
          <w:szCs w:val="24"/>
        </w:rPr>
        <w:t>https://www.weforum.org/reports/the-future-of-jobs-report-2018</w:t>
      </w:r>
      <w:r>
        <w:rPr>
          <w:rFonts w:hint="default" w:ascii="Times New Roman" w:hAnsi="Times New Roman" w:cs="Times New Roman"/>
          <w:sz w:val="24"/>
          <w:szCs w:val="24"/>
        </w:rPr>
        <w:fldChar w:fldCharType="end"/>
      </w:r>
    </w:p>
    <w:p w14:paraId="404AB6C2">
      <w:pPr>
        <w:pStyle w:val="9"/>
        <w:keepNext w:val="0"/>
        <w:keepLines w:val="0"/>
        <w:widowControl/>
        <w:suppressLineNumbers w:val="0"/>
        <w:spacing w:before="0" w:beforeAutospacing="0" w:line="12" w:lineRule="atLeast"/>
        <w:jc w:val="both"/>
        <w:rPr>
          <w:rFonts w:hint="default" w:ascii="Times New Roman" w:hAnsi="Times New Roman" w:eastAsia="sans-serif" w:cs="Times New Roman"/>
          <w:sz w:val="24"/>
          <w:szCs w:val="24"/>
        </w:rPr>
      </w:pPr>
    </w:p>
    <w:p w14:paraId="46EAF85A">
      <w:pPr>
        <w:pStyle w:val="9"/>
        <w:keepNext w:val="0"/>
        <w:keepLines w:val="0"/>
        <w:widowControl/>
        <w:suppressLineNumbers w:val="0"/>
        <w:spacing w:before="0" w:beforeAutospacing="0" w:line="12" w:lineRule="atLeast"/>
        <w:jc w:val="both"/>
        <w:rPr>
          <w:rFonts w:hint="default" w:ascii="Times New Roman" w:hAnsi="Times New Roman" w:eastAsia="sans-serif" w:cs="Times New Roman"/>
          <w:sz w:val="24"/>
          <w:szCs w:val="24"/>
        </w:rPr>
      </w:pPr>
    </w:p>
    <w:p w14:paraId="2C7D1425">
      <w:pPr>
        <w:keepNext w:val="0"/>
        <w:keepLines w:val="0"/>
        <w:widowControl/>
        <w:suppressLineNumbers w:val="0"/>
        <w:spacing w:before="0" w:beforeAutospacing="0" w:line="12" w:lineRule="atLeast"/>
        <w:jc w:val="both"/>
        <w:rPr>
          <w:rFonts w:hint="default" w:ascii="Times New Roman" w:hAnsi="Times New Roman" w:eastAsia="sans-serif" w:cs="Times New Roman"/>
          <w:sz w:val="24"/>
          <w:szCs w:val="24"/>
        </w:rPr>
      </w:pPr>
    </w:p>
    <w:p w14:paraId="734D7BEB">
      <w:pPr>
        <w:jc w:val="both"/>
        <w:rPr>
          <w:rFonts w:hint="default" w:ascii="Times New Roman" w:hAnsi="Times New Roman" w:cs="Times New Roman"/>
          <w:sz w:val="24"/>
          <w:szCs w:val="24"/>
        </w:rPr>
      </w:pPr>
    </w:p>
    <w:p w14:paraId="213DCA76">
      <w:pPr>
        <w:rPr>
          <w:sz w:val="24"/>
          <w:szCs w:val="24"/>
        </w:rPr>
      </w:pPr>
    </w:p>
    <w:sectPr>
      <w:pgSz w:w="11906" w:h="16838"/>
      <w:pgMar w:top="1440" w:right="1800" w:bottom="2341" w:left="1800" w:header="720" w:footer="720" w:gutter="0"/>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ans Serif Collection">
    <w:panose1 w:val="020B0502040504020204"/>
    <w:charset w:val="00"/>
    <w:family w:val="auto"/>
    <w:pitch w:val="default"/>
    <w:sig w:usb0="E857A3FF" w:usb1="4200605F" w:usb2="29100029" w:usb3="007B0631" w:csb0="000001DF" w:csb1="00000000"/>
  </w:font>
  <w:font w:name="Symbol">
    <w:panose1 w:val="05050102010706020507"/>
    <w:charset w:val="00"/>
    <w:family w:val="auto"/>
    <w:pitch w:val="default"/>
    <w:sig w:usb0="00000000" w:usb1="00000000" w:usb2="00000000" w:usb3="00000000" w:csb0="8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00000007"/>
    <w:multiLevelType w:val="multilevel"/>
    <w:tmpl w:val="0000000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0000000A"/>
    <w:multiLevelType w:val="multilevel"/>
    <w:tmpl w:val="0000000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0000000C"/>
    <w:multiLevelType w:val="multilevel"/>
    <w:tmpl w:val="0000000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00000010"/>
    <w:multiLevelType w:val="multilevel"/>
    <w:tmpl w:val="0000001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00000016"/>
    <w:multiLevelType w:val="multilevel"/>
    <w:tmpl w:val="0000001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6D7C4A1B"/>
    <w:multiLevelType w:val="singleLevel"/>
    <w:tmpl w:val="6D7C4A1B"/>
    <w:lvl w:ilvl="0" w:tentative="0">
      <w:start w:val="1"/>
      <w:numFmt w:val="decimal"/>
      <w:lvlText w:val="%1."/>
      <w:lvlJc w:val="left"/>
      <w:pPr>
        <w:tabs>
          <w:tab w:val="left" w:pos="425"/>
        </w:tabs>
        <w:ind w:left="425" w:leftChars="0" w:hanging="425" w:firstLineChars="0"/>
      </w:pPr>
      <w:rPr>
        <w:rFonts w:hint="default"/>
      </w:rPr>
    </w:lvl>
  </w:abstractNum>
  <w:num w:numId="1">
    <w:abstractNumId w:val="5"/>
  </w:num>
  <w:num w:numId="2">
    <w:abstractNumId w:val="0"/>
  </w:num>
  <w:num w:numId="3">
    <w:abstractNumId w:val="4"/>
  </w:num>
  <w:num w:numId="4">
    <w:abstractNumId w:val="3"/>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355A0B"/>
    <w:rsid w:val="0F4952C9"/>
    <w:rsid w:val="34CC38DD"/>
    <w:rsid w:val="51355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SimSun"/>
      <w:kern w:val="2"/>
      <w:sz w:val="22"/>
      <w:szCs w:val="22"/>
      <w:lang w:val="en-US" w:eastAsia="en-US" w:bidi="ar-SA"/>
    </w:rPr>
  </w:style>
  <w:style w:type="paragraph" w:styleId="2">
    <w:name w:val="heading 2"/>
    <w:basedOn w:val="1"/>
    <w:qFormat/>
    <w:uiPriority w:val="9"/>
    <w:pPr>
      <w:spacing w:before="100" w:beforeAutospacing="1" w:after="100" w:afterAutospacing="1" w:line="240" w:lineRule="auto"/>
      <w:outlineLvl w:val="1"/>
    </w:pPr>
    <w:rPr>
      <w:rFonts w:ascii="Times New Roman" w:hAnsi="Times New Roman" w:eastAsia="Times New Roman" w:cs="Times New Roman"/>
      <w:b/>
      <w:bCs/>
      <w:kern w:val="0"/>
      <w:sz w:val="36"/>
      <w:szCs w:val="36"/>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4">
    <w:name w:val="heading 4"/>
    <w:basedOn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5">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character" w:styleId="7">
    <w:name w:val="Emphasis"/>
    <w:basedOn w:val="5"/>
    <w:qFormat/>
    <w:uiPriority w:val="20"/>
    <w:rPr>
      <w:i/>
      <w:iCs/>
    </w:rPr>
  </w:style>
  <w:style w:type="character" w:styleId="8">
    <w:name w:val="Hyperlink"/>
    <w:basedOn w:val="5"/>
    <w:qFormat/>
    <w:uiPriority w:val="99"/>
    <w:rPr>
      <w:color w:val="0000FF"/>
      <w:u w:val="single"/>
    </w:rPr>
  </w:style>
  <w:style w:type="paragraph" w:styleId="9">
    <w:name w:val="Normal (Web)"/>
    <w:basedOn w:val="1"/>
    <w:qFormat/>
    <w:uiPriority w:val="0"/>
    <w:pPr>
      <w:spacing w:before="0" w:beforeAutospacing="1" w:after="0" w:afterAutospacing="1"/>
      <w:ind w:left="0" w:right="0"/>
      <w:jc w:val="left"/>
    </w:pPr>
    <w:rPr>
      <w:kern w:val="0"/>
      <w:sz w:val="24"/>
      <w:szCs w:val="24"/>
      <w:lang w:val="en-US" w:eastAsia="zh-CN" w:bidi="ar"/>
    </w:rPr>
  </w:style>
  <w:style w:type="character" w:styleId="10">
    <w:name w:val="Strong"/>
    <w:basedOn w:val="5"/>
    <w:qFormat/>
    <w:uiPriority w:val="22"/>
    <w:rPr>
      <w:b/>
      <w:bCs/>
    </w:rPr>
  </w:style>
  <w:style w:type="table" w:styleId="11">
    <w:name w:val="Table Grid"/>
    <w:basedOn w:val="6"/>
    <w:qFormat/>
    <w:uiPriority w:val="59"/>
    <w:pPr>
      <w:spacing w:after="0" w:line="240" w:lineRule="auto"/>
    </w:pPr>
    <w:rPr>
      <w:rFonts w:eastAsia="SimSun"/>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diagramQuickStyle" Target="diagrams/quickStyle1.xml"/><Relationship Id="rId8" Type="http://schemas.openxmlformats.org/officeDocument/2006/relationships/diagramLayout" Target="diagrams/layout1.xml"/><Relationship Id="rId7" Type="http://schemas.openxmlformats.org/officeDocument/2006/relationships/diagramData" Target="diagrams/data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hart" Target="charts/chart2.xml"/><Relationship Id="rId13" Type="http://schemas.openxmlformats.org/officeDocument/2006/relationships/chart" Target="charts/chart1.xml"/><Relationship Id="rId12" Type="http://schemas.openxmlformats.org/officeDocument/2006/relationships/image" Target="media/image2.png"/><Relationship Id="rId11" Type="http://schemas.microsoft.com/office/2007/relationships/diagramDrawing" Target="diagrams/drawing1.xml"/><Relationship Id="rId10" Type="http://schemas.openxmlformats.org/officeDocument/2006/relationships/diagramColors" Target="diagrams/colors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G-LIGHT\Desktop\Bridging\Bridge%20Q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G-LIGHT\Desktop\Bridging\Bridge%20Q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Sheet2!$A$1:$A$2</c:f>
              <c:strCache>
                <c:ptCount val="1"/>
                <c:pt idx="0">
                  <c:v>MeanIP IPX</c:v>
                </c:pt>
              </c:strCache>
            </c:strRef>
          </c:tx>
          <c:invertIfNegative val="0"/>
          <c:dLbls>
            <c:delete val="1"/>
          </c:dLbls>
          <c:val>
            <c:numRef>
              <c:f>Sheet2!$A$3:$A$152</c:f>
              <c:numCache>
                <c:formatCode>General</c:formatCode>
                <c:ptCount val="150"/>
                <c:pt idx="0">
                  <c:v>5</c:v>
                </c:pt>
                <c:pt idx="1">
                  <c:v>4.9</c:v>
                </c:pt>
                <c:pt idx="2">
                  <c:v>4.9</c:v>
                </c:pt>
                <c:pt idx="3">
                  <c:v>4.9</c:v>
                </c:pt>
                <c:pt idx="4">
                  <c:v>4.8</c:v>
                </c:pt>
                <c:pt idx="5">
                  <c:v>4.7</c:v>
                </c:pt>
                <c:pt idx="6">
                  <c:v>4.7</c:v>
                </c:pt>
                <c:pt idx="7">
                  <c:v>4.7</c:v>
                </c:pt>
                <c:pt idx="8">
                  <c:v>4.5</c:v>
                </c:pt>
                <c:pt idx="9">
                  <c:v>4.5</c:v>
                </c:pt>
                <c:pt idx="10">
                  <c:v>4.5</c:v>
                </c:pt>
                <c:pt idx="11">
                  <c:v>4.2</c:v>
                </c:pt>
                <c:pt idx="12">
                  <c:v>4.2</c:v>
                </c:pt>
                <c:pt idx="13">
                  <c:v>4.2</c:v>
                </c:pt>
                <c:pt idx="14">
                  <c:v>4.2</c:v>
                </c:pt>
                <c:pt idx="15">
                  <c:v>4.2</c:v>
                </c:pt>
                <c:pt idx="16">
                  <c:v>4.2</c:v>
                </c:pt>
                <c:pt idx="17">
                  <c:v>4.1</c:v>
                </c:pt>
                <c:pt idx="18">
                  <c:v>4.1</c:v>
                </c:pt>
                <c:pt idx="19">
                  <c:v>4.1</c:v>
                </c:pt>
                <c:pt idx="20">
                  <c:v>4</c:v>
                </c:pt>
                <c:pt idx="21">
                  <c:v>4</c:v>
                </c:pt>
                <c:pt idx="22">
                  <c:v>4</c:v>
                </c:pt>
                <c:pt idx="23">
                  <c:v>4</c:v>
                </c:pt>
                <c:pt idx="24">
                  <c:v>4</c:v>
                </c:pt>
                <c:pt idx="25">
                  <c:v>4</c:v>
                </c:pt>
                <c:pt idx="26">
                  <c:v>4</c:v>
                </c:pt>
                <c:pt idx="27">
                  <c:v>4</c:v>
                </c:pt>
                <c:pt idx="28">
                  <c:v>4</c:v>
                </c:pt>
                <c:pt idx="29">
                  <c:v>4</c:v>
                </c:pt>
                <c:pt idx="30">
                  <c:v>4</c:v>
                </c:pt>
                <c:pt idx="31">
                  <c:v>4</c:v>
                </c:pt>
                <c:pt idx="32">
                  <c:v>3.9</c:v>
                </c:pt>
                <c:pt idx="33">
                  <c:v>3.9</c:v>
                </c:pt>
                <c:pt idx="34">
                  <c:v>3.9</c:v>
                </c:pt>
                <c:pt idx="35">
                  <c:v>3.8</c:v>
                </c:pt>
                <c:pt idx="36">
                  <c:v>3.8</c:v>
                </c:pt>
                <c:pt idx="37">
                  <c:v>3.8</c:v>
                </c:pt>
                <c:pt idx="38">
                  <c:v>3.8</c:v>
                </c:pt>
                <c:pt idx="39">
                  <c:v>3.8</c:v>
                </c:pt>
                <c:pt idx="40">
                  <c:v>3.5</c:v>
                </c:pt>
                <c:pt idx="41">
                  <c:v>3.5</c:v>
                </c:pt>
                <c:pt idx="42">
                  <c:v>3.5</c:v>
                </c:pt>
                <c:pt idx="43">
                  <c:v>3.4</c:v>
                </c:pt>
                <c:pt idx="44">
                  <c:v>3.4</c:v>
                </c:pt>
                <c:pt idx="45">
                  <c:v>3.4</c:v>
                </c:pt>
                <c:pt idx="46">
                  <c:v>3.4</c:v>
                </c:pt>
                <c:pt idx="47">
                  <c:v>3.4</c:v>
                </c:pt>
                <c:pt idx="48">
                  <c:v>3.4</c:v>
                </c:pt>
                <c:pt idx="49">
                  <c:v>3.4</c:v>
                </c:pt>
                <c:pt idx="50">
                  <c:v>3.4</c:v>
                </c:pt>
                <c:pt idx="51">
                  <c:v>3.4</c:v>
                </c:pt>
                <c:pt idx="52">
                  <c:v>3.4</c:v>
                </c:pt>
                <c:pt idx="53">
                  <c:v>3.4</c:v>
                </c:pt>
                <c:pt idx="54">
                  <c:v>3.3</c:v>
                </c:pt>
                <c:pt idx="55">
                  <c:v>3.3</c:v>
                </c:pt>
                <c:pt idx="56">
                  <c:v>3.3</c:v>
                </c:pt>
                <c:pt idx="57">
                  <c:v>3.3</c:v>
                </c:pt>
                <c:pt idx="58">
                  <c:v>3.3</c:v>
                </c:pt>
                <c:pt idx="59">
                  <c:v>3.3</c:v>
                </c:pt>
                <c:pt idx="60">
                  <c:v>3.3</c:v>
                </c:pt>
                <c:pt idx="61">
                  <c:v>3.3</c:v>
                </c:pt>
                <c:pt idx="62">
                  <c:v>3.3</c:v>
                </c:pt>
                <c:pt idx="63">
                  <c:v>3.3</c:v>
                </c:pt>
                <c:pt idx="64">
                  <c:v>3.3</c:v>
                </c:pt>
                <c:pt idx="65">
                  <c:v>3.3</c:v>
                </c:pt>
                <c:pt idx="66">
                  <c:v>3.3</c:v>
                </c:pt>
                <c:pt idx="67">
                  <c:v>3.3</c:v>
                </c:pt>
                <c:pt idx="68">
                  <c:v>3.3</c:v>
                </c:pt>
                <c:pt idx="69">
                  <c:v>3.3</c:v>
                </c:pt>
                <c:pt idx="70">
                  <c:v>3.2</c:v>
                </c:pt>
                <c:pt idx="71">
                  <c:v>3.2</c:v>
                </c:pt>
                <c:pt idx="72">
                  <c:v>3</c:v>
                </c:pt>
                <c:pt idx="73">
                  <c:v>3</c:v>
                </c:pt>
                <c:pt idx="74">
                  <c:v>3</c:v>
                </c:pt>
                <c:pt idx="75">
                  <c:v>3</c:v>
                </c:pt>
                <c:pt idx="76">
                  <c:v>3</c:v>
                </c:pt>
                <c:pt idx="77">
                  <c:v>2.9</c:v>
                </c:pt>
                <c:pt idx="78">
                  <c:v>2.9</c:v>
                </c:pt>
                <c:pt idx="79">
                  <c:v>2.9</c:v>
                </c:pt>
                <c:pt idx="80">
                  <c:v>2.9</c:v>
                </c:pt>
                <c:pt idx="81">
                  <c:v>2.9</c:v>
                </c:pt>
                <c:pt idx="82">
                  <c:v>2.9</c:v>
                </c:pt>
                <c:pt idx="83">
                  <c:v>2.9</c:v>
                </c:pt>
                <c:pt idx="84">
                  <c:v>2.9</c:v>
                </c:pt>
                <c:pt idx="85">
                  <c:v>2.9</c:v>
                </c:pt>
                <c:pt idx="86">
                  <c:v>2.9</c:v>
                </c:pt>
                <c:pt idx="87">
                  <c:v>2.8</c:v>
                </c:pt>
                <c:pt idx="88">
                  <c:v>2.8</c:v>
                </c:pt>
                <c:pt idx="89">
                  <c:v>2.8</c:v>
                </c:pt>
                <c:pt idx="90">
                  <c:v>2.8</c:v>
                </c:pt>
                <c:pt idx="91">
                  <c:v>2.8</c:v>
                </c:pt>
                <c:pt idx="92">
                  <c:v>2.8</c:v>
                </c:pt>
                <c:pt idx="93">
                  <c:v>2.8</c:v>
                </c:pt>
                <c:pt idx="94">
                  <c:v>2.8</c:v>
                </c:pt>
                <c:pt idx="95">
                  <c:v>2.8</c:v>
                </c:pt>
                <c:pt idx="96">
                  <c:v>2.8</c:v>
                </c:pt>
                <c:pt idx="97">
                  <c:v>2.7</c:v>
                </c:pt>
                <c:pt idx="98">
                  <c:v>2.6</c:v>
                </c:pt>
                <c:pt idx="99">
                  <c:v>2.6</c:v>
                </c:pt>
                <c:pt idx="100">
                  <c:v>2.6</c:v>
                </c:pt>
                <c:pt idx="101">
                  <c:v>2.5</c:v>
                </c:pt>
                <c:pt idx="102">
                  <c:v>2.5</c:v>
                </c:pt>
                <c:pt idx="103">
                  <c:v>2.5</c:v>
                </c:pt>
                <c:pt idx="104">
                  <c:v>2.5</c:v>
                </c:pt>
                <c:pt idx="105">
                  <c:v>2.5</c:v>
                </c:pt>
                <c:pt idx="106">
                  <c:v>2.5</c:v>
                </c:pt>
                <c:pt idx="107">
                  <c:v>2.5</c:v>
                </c:pt>
                <c:pt idx="108">
                  <c:v>2.5</c:v>
                </c:pt>
                <c:pt idx="109">
                  <c:v>2.5</c:v>
                </c:pt>
                <c:pt idx="110">
                  <c:v>2.5</c:v>
                </c:pt>
                <c:pt idx="111">
                  <c:v>2.5</c:v>
                </c:pt>
                <c:pt idx="112">
                  <c:v>2.5</c:v>
                </c:pt>
                <c:pt idx="113">
                  <c:v>2.4</c:v>
                </c:pt>
                <c:pt idx="114">
                  <c:v>2.4</c:v>
                </c:pt>
                <c:pt idx="115">
                  <c:v>2.4</c:v>
                </c:pt>
                <c:pt idx="116">
                  <c:v>2.4</c:v>
                </c:pt>
                <c:pt idx="117">
                  <c:v>2.4</c:v>
                </c:pt>
                <c:pt idx="118">
                  <c:v>2.4</c:v>
                </c:pt>
                <c:pt idx="119">
                  <c:v>2.4</c:v>
                </c:pt>
                <c:pt idx="120">
                  <c:v>2.4</c:v>
                </c:pt>
                <c:pt idx="121">
                  <c:v>2.4</c:v>
                </c:pt>
                <c:pt idx="122">
                  <c:v>2.4</c:v>
                </c:pt>
                <c:pt idx="123">
                  <c:v>2.4</c:v>
                </c:pt>
                <c:pt idx="124">
                  <c:v>2.4</c:v>
                </c:pt>
                <c:pt idx="125">
                  <c:v>2.3</c:v>
                </c:pt>
                <c:pt idx="126">
                  <c:v>2.3</c:v>
                </c:pt>
                <c:pt idx="127">
                  <c:v>2.3</c:v>
                </c:pt>
                <c:pt idx="128">
                  <c:v>2.3</c:v>
                </c:pt>
                <c:pt idx="129">
                  <c:v>2.3</c:v>
                </c:pt>
                <c:pt idx="130">
                  <c:v>2.3</c:v>
                </c:pt>
                <c:pt idx="131">
                  <c:v>2.3</c:v>
                </c:pt>
                <c:pt idx="132">
                  <c:v>2.2</c:v>
                </c:pt>
                <c:pt idx="133">
                  <c:v>2.2</c:v>
                </c:pt>
                <c:pt idx="134">
                  <c:v>2.2</c:v>
                </c:pt>
                <c:pt idx="135">
                  <c:v>2</c:v>
                </c:pt>
                <c:pt idx="136">
                  <c:v>2</c:v>
                </c:pt>
                <c:pt idx="137">
                  <c:v>2</c:v>
                </c:pt>
                <c:pt idx="138">
                  <c:v>1.8</c:v>
                </c:pt>
                <c:pt idx="139">
                  <c:v>1.8</c:v>
                </c:pt>
                <c:pt idx="140">
                  <c:v>1.8</c:v>
                </c:pt>
                <c:pt idx="141">
                  <c:v>1.8</c:v>
                </c:pt>
                <c:pt idx="142">
                  <c:v>1.8</c:v>
                </c:pt>
                <c:pt idx="143">
                  <c:v>1.5</c:v>
                </c:pt>
                <c:pt idx="144">
                  <c:v>1.5</c:v>
                </c:pt>
                <c:pt idx="145">
                  <c:v>1.5</c:v>
                </c:pt>
                <c:pt idx="146">
                  <c:v>1.4</c:v>
                </c:pt>
                <c:pt idx="147">
                  <c:v>1.4</c:v>
                </c:pt>
                <c:pt idx="148">
                  <c:v>1.2</c:v>
                </c:pt>
                <c:pt idx="149">
                  <c:v>1</c:v>
                </c:pt>
              </c:numCache>
            </c:numRef>
          </c:val>
        </c:ser>
        <c:ser>
          <c:idx val="1"/>
          <c:order val="1"/>
          <c:tx>
            <c:strRef>
              <c:f>Sheet2!$B$1:$B$2</c:f>
              <c:strCache>
                <c:ptCount val="1"/>
                <c:pt idx="0">
                  <c:v>MeanIC ICX</c:v>
                </c:pt>
              </c:strCache>
            </c:strRef>
          </c:tx>
          <c:invertIfNegative val="0"/>
          <c:dLbls>
            <c:delete val="1"/>
          </c:dLbls>
          <c:val>
            <c:numRef>
              <c:f>Sheet2!$B$3:$B$152</c:f>
              <c:numCache>
                <c:formatCode>General</c:formatCode>
                <c:ptCount val="150"/>
                <c:pt idx="0">
                  <c:v>4.9</c:v>
                </c:pt>
                <c:pt idx="1">
                  <c:v>5</c:v>
                </c:pt>
                <c:pt idx="2">
                  <c:v>5</c:v>
                </c:pt>
                <c:pt idx="3">
                  <c:v>5</c:v>
                </c:pt>
                <c:pt idx="4">
                  <c:v>5</c:v>
                </c:pt>
                <c:pt idx="5">
                  <c:v>5</c:v>
                </c:pt>
                <c:pt idx="6">
                  <c:v>5</c:v>
                </c:pt>
                <c:pt idx="7">
                  <c:v>5</c:v>
                </c:pt>
                <c:pt idx="8">
                  <c:v>5</c:v>
                </c:pt>
                <c:pt idx="9">
                  <c:v>5</c:v>
                </c:pt>
                <c:pt idx="10">
                  <c:v>5</c:v>
                </c:pt>
                <c:pt idx="11">
                  <c:v>5</c:v>
                </c:pt>
                <c:pt idx="12">
                  <c:v>5</c:v>
                </c:pt>
                <c:pt idx="13">
                  <c:v>5</c:v>
                </c:pt>
                <c:pt idx="14">
                  <c:v>5</c:v>
                </c:pt>
                <c:pt idx="15">
                  <c:v>5</c:v>
                </c:pt>
                <c:pt idx="16">
                  <c:v>5</c:v>
                </c:pt>
                <c:pt idx="17">
                  <c:v>5</c:v>
                </c:pt>
                <c:pt idx="18">
                  <c:v>5</c:v>
                </c:pt>
                <c:pt idx="19">
                  <c:v>5</c:v>
                </c:pt>
                <c:pt idx="20">
                  <c:v>5</c:v>
                </c:pt>
                <c:pt idx="21">
                  <c:v>5</c:v>
                </c:pt>
                <c:pt idx="22">
                  <c:v>5</c:v>
                </c:pt>
                <c:pt idx="23">
                  <c:v>5</c:v>
                </c:pt>
                <c:pt idx="24">
                  <c:v>5</c:v>
                </c:pt>
                <c:pt idx="25">
                  <c:v>5</c:v>
                </c:pt>
                <c:pt idx="26">
                  <c:v>5</c:v>
                </c:pt>
                <c:pt idx="27">
                  <c:v>5</c:v>
                </c:pt>
                <c:pt idx="28">
                  <c:v>5</c:v>
                </c:pt>
                <c:pt idx="29">
                  <c:v>5</c:v>
                </c:pt>
                <c:pt idx="30">
                  <c:v>5</c:v>
                </c:pt>
                <c:pt idx="31">
                  <c:v>5</c:v>
                </c:pt>
                <c:pt idx="32">
                  <c:v>5</c:v>
                </c:pt>
                <c:pt idx="33">
                  <c:v>5</c:v>
                </c:pt>
                <c:pt idx="34">
                  <c:v>5</c:v>
                </c:pt>
                <c:pt idx="35">
                  <c:v>5</c:v>
                </c:pt>
                <c:pt idx="36">
                  <c:v>5</c:v>
                </c:pt>
                <c:pt idx="37">
                  <c:v>5</c:v>
                </c:pt>
                <c:pt idx="38">
                  <c:v>5</c:v>
                </c:pt>
                <c:pt idx="39">
                  <c:v>5</c:v>
                </c:pt>
                <c:pt idx="40">
                  <c:v>5</c:v>
                </c:pt>
                <c:pt idx="41">
                  <c:v>5</c:v>
                </c:pt>
                <c:pt idx="42">
                  <c:v>5</c:v>
                </c:pt>
                <c:pt idx="43">
                  <c:v>5</c:v>
                </c:pt>
                <c:pt idx="44">
                  <c:v>5</c:v>
                </c:pt>
                <c:pt idx="45">
                  <c:v>5</c:v>
                </c:pt>
                <c:pt idx="46">
                  <c:v>5</c:v>
                </c:pt>
                <c:pt idx="47">
                  <c:v>5</c:v>
                </c:pt>
                <c:pt idx="48">
                  <c:v>5</c:v>
                </c:pt>
                <c:pt idx="49">
                  <c:v>5</c:v>
                </c:pt>
                <c:pt idx="50">
                  <c:v>5</c:v>
                </c:pt>
                <c:pt idx="51">
                  <c:v>5</c:v>
                </c:pt>
                <c:pt idx="52">
                  <c:v>5</c:v>
                </c:pt>
                <c:pt idx="53">
                  <c:v>4.9</c:v>
                </c:pt>
                <c:pt idx="54">
                  <c:v>4.9</c:v>
                </c:pt>
                <c:pt idx="55">
                  <c:v>4.9</c:v>
                </c:pt>
                <c:pt idx="56">
                  <c:v>4.9</c:v>
                </c:pt>
                <c:pt idx="57">
                  <c:v>4.9</c:v>
                </c:pt>
                <c:pt idx="58">
                  <c:v>4.9</c:v>
                </c:pt>
                <c:pt idx="59">
                  <c:v>4.9</c:v>
                </c:pt>
                <c:pt idx="60">
                  <c:v>4.9</c:v>
                </c:pt>
                <c:pt idx="61">
                  <c:v>4.9</c:v>
                </c:pt>
                <c:pt idx="62">
                  <c:v>4.9</c:v>
                </c:pt>
                <c:pt idx="63">
                  <c:v>4.9</c:v>
                </c:pt>
                <c:pt idx="64">
                  <c:v>4.9</c:v>
                </c:pt>
                <c:pt idx="65">
                  <c:v>4.9</c:v>
                </c:pt>
                <c:pt idx="66">
                  <c:v>4.9</c:v>
                </c:pt>
                <c:pt idx="67">
                  <c:v>4.9</c:v>
                </c:pt>
                <c:pt idx="68">
                  <c:v>4.9</c:v>
                </c:pt>
                <c:pt idx="69">
                  <c:v>4.9</c:v>
                </c:pt>
                <c:pt idx="70">
                  <c:v>4.9</c:v>
                </c:pt>
                <c:pt idx="71">
                  <c:v>4.9</c:v>
                </c:pt>
                <c:pt idx="72">
                  <c:v>4.9</c:v>
                </c:pt>
                <c:pt idx="73">
                  <c:v>4.9</c:v>
                </c:pt>
                <c:pt idx="74">
                  <c:v>4.9</c:v>
                </c:pt>
                <c:pt idx="75">
                  <c:v>4.9</c:v>
                </c:pt>
                <c:pt idx="76">
                  <c:v>4.8</c:v>
                </c:pt>
                <c:pt idx="77">
                  <c:v>4.8</c:v>
                </c:pt>
                <c:pt idx="78">
                  <c:v>4.7</c:v>
                </c:pt>
                <c:pt idx="79">
                  <c:v>4.7</c:v>
                </c:pt>
                <c:pt idx="80">
                  <c:v>4.6</c:v>
                </c:pt>
                <c:pt idx="81">
                  <c:v>4.6</c:v>
                </c:pt>
                <c:pt idx="82">
                  <c:v>4.6</c:v>
                </c:pt>
                <c:pt idx="83">
                  <c:v>4.6</c:v>
                </c:pt>
                <c:pt idx="84">
                  <c:v>4.6</c:v>
                </c:pt>
                <c:pt idx="85">
                  <c:v>4.6</c:v>
                </c:pt>
                <c:pt idx="86">
                  <c:v>4.5</c:v>
                </c:pt>
                <c:pt idx="87">
                  <c:v>4.5</c:v>
                </c:pt>
                <c:pt idx="88">
                  <c:v>4.5</c:v>
                </c:pt>
                <c:pt idx="89">
                  <c:v>4.4</c:v>
                </c:pt>
                <c:pt idx="90">
                  <c:v>4.4</c:v>
                </c:pt>
                <c:pt idx="91">
                  <c:v>4.4</c:v>
                </c:pt>
                <c:pt idx="92">
                  <c:v>4.4</c:v>
                </c:pt>
                <c:pt idx="93">
                  <c:v>4.4</c:v>
                </c:pt>
                <c:pt idx="94">
                  <c:v>4.4</c:v>
                </c:pt>
                <c:pt idx="95">
                  <c:v>4.4</c:v>
                </c:pt>
                <c:pt idx="96">
                  <c:v>4.4</c:v>
                </c:pt>
                <c:pt idx="97">
                  <c:v>4.4</c:v>
                </c:pt>
                <c:pt idx="98">
                  <c:v>4.3</c:v>
                </c:pt>
                <c:pt idx="99">
                  <c:v>4.3</c:v>
                </c:pt>
                <c:pt idx="100">
                  <c:v>4.3</c:v>
                </c:pt>
                <c:pt idx="101">
                  <c:v>4.3</c:v>
                </c:pt>
                <c:pt idx="102">
                  <c:v>4.3</c:v>
                </c:pt>
                <c:pt idx="103">
                  <c:v>4.3</c:v>
                </c:pt>
                <c:pt idx="104">
                  <c:v>4.3</c:v>
                </c:pt>
                <c:pt idx="105">
                  <c:v>4.3</c:v>
                </c:pt>
                <c:pt idx="106">
                  <c:v>4.3</c:v>
                </c:pt>
                <c:pt idx="107">
                  <c:v>4.3</c:v>
                </c:pt>
                <c:pt idx="108">
                  <c:v>4.3</c:v>
                </c:pt>
                <c:pt idx="109">
                  <c:v>4.3</c:v>
                </c:pt>
                <c:pt idx="110">
                  <c:v>4.3</c:v>
                </c:pt>
                <c:pt idx="111">
                  <c:v>4.3</c:v>
                </c:pt>
                <c:pt idx="112">
                  <c:v>4.3</c:v>
                </c:pt>
                <c:pt idx="113">
                  <c:v>4.3</c:v>
                </c:pt>
                <c:pt idx="114">
                  <c:v>4.3</c:v>
                </c:pt>
                <c:pt idx="115">
                  <c:v>4.3</c:v>
                </c:pt>
                <c:pt idx="116">
                  <c:v>4.3</c:v>
                </c:pt>
                <c:pt idx="117">
                  <c:v>4.3</c:v>
                </c:pt>
                <c:pt idx="118">
                  <c:v>4.2</c:v>
                </c:pt>
                <c:pt idx="119">
                  <c:v>4.1</c:v>
                </c:pt>
                <c:pt idx="120">
                  <c:v>4.1</c:v>
                </c:pt>
                <c:pt idx="121">
                  <c:v>4.1</c:v>
                </c:pt>
                <c:pt idx="122">
                  <c:v>4.1</c:v>
                </c:pt>
                <c:pt idx="123">
                  <c:v>3.9</c:v>
                </c:pt>
                <c:pt idx="124">
                  <c:v>3.9</c:v>
                </c:pt>
                <c:pt idx="125">
                  <c:v>3.9</c:v>
                </c:pt>
                <c:pt idx="126">
                  <c:v>3.9</c:v>
                </c:pt>
                <c:pt idx="127">
                  <c:v>3.9</c:v>
                </c:pt>
                <c:pt idx="128">
                  <c:v>3.9</c:v>
                </c:pt>
                <c:pt idx="129">
                  <c:v>3.9</c:v>
                </c:pt>
                <c:pt idx="130">
                  <c:v>3.7</c:v>
                </c:pt>
                <c:pt idx="131">
                  <c:v>3.7</c:v>
                </c:pt>
                <c:pt idx="132">
                  <c:v>3.7</c:v>
                </c:pt>
                <c:pt idx="133">
                  <c:v>3.6</c:v>
                </c:pt>
                <c:pt idx="134">
                  <c:v>3.5</c:v>
                </c:pt>
                <c:pt idx="135">
                  <c:v>3.4</c:v>
                </c:pt>
                <c:pt idx="136">
                  <c:v>3.4</c:v>
                </c:pt>
                <c:pt idx="137">
                  <c:v>3.4</c:v>
                </c:pt>
                <c:pt idx="138">
                  <c:v>3.2</c:v>
                </c:pt>
                <c:pt idx="139">
                  <c:v>3.1</c:v>
                </c:pt>
                <c:pt idx="140">
                  <c:v>3.1</c:v>
                </c:pt>
                <c:pt idx="141">
                  <c:v>3</c:v>
                </c:pt>
                <c:pt idx="142">
                  <c:v>2.8</c:v>
                </c:pt>
                <c:pt idx="143">
                  <c:v>2.8</c:v>
                </c:pt>
                <c:pt idx="144">
                  <c:v>2.7</c:v>
                </c:pt>
                <c:pt idx="145">
                  <c:v>2.6</c:v>
                </c:pt>
                <c:pt idx="146">
                  <c:v>2.3</c:v>
                </c:pt>
                <c:pt idx="147">
                  <c:v>2.1</c:v>
                </c:pt>
                <c:pt idx="148">
                  <c:v>2.1</c:v>
                </c:pt>
                <c:pt idx="149">
                  <c:v>2</c:v>
                </c:pt>
              </c:numCache>
            </c:numRef>
          </c:val>
        </c:ser>
        <c:ser>
          <c:idx val="2"/>
          <c:order val="2"/>
          <c:tx>
            <c:strRef>
              <c:f>Sheet2!$C$1:$C$2</c:f>
              <c:strCache>
                <c:ptCount val="1"/>
                <c:pt idx="0">
                  <c:v>MeanAP APX</c:v>
                </c:pt>
              </c:strCache>
            </c:strRef>
          </c:tx>
          <c:invertIfNegative val="0"/>
          <c:dLbls>
            <c:delete val="1"/>
          </c:dLbls>
          <c:val>
            <c:numRef>
              <c:f>Sheet2!$C$3:$C$152</c:f>
              <c:numCache>
                <c:formatCode>General</c:formatCode>
                <c:ptCount val="150"/>
                <c:pt idx="0">
                  <c:v>5</c:v>
                </c:pt>
                <c:pt idx="1">
                  <c:v>5</c:v>
                </c:pt>
                <c:pt idx="2">
                  <c:v>5</c:v>
                </c:pt>
                <c:pt idx="3">
                  <c:v>5</c:v>
                </c:pt>
                <c:pt idx="4">
                  <c:v>4.9</c:v>
                </c:pt>
                <c:pt idx="5">
                  <c:v>4.9</c:v>
                </c:pt>
                <c:pt idx="6">
                  <c:v>4.7</c:v>
                </c:pt>
                <c:pt idx="7">
                  <c:v>4.7</c:v>
                </c:pt>
                <c:pt idx="8">
                  <c:v>4.6</c:v>
                </c:pt>
                <c:pt idx="9">
                  <c:v>4.6</c:v>
                </c:pt>
                <c:pt idx="10">
                  <c:v>4.6</c:v>
                </c:pt>
                <c:pt idx="11">
                  <c:v>4.6</c:v>
                </c:pt>
                <c:pt idx="12">
                  <c:v>4.6</c:v>
                </c:pt>
                <c:pt idx="13">
                  <c:v>4.6</c:v>
                </c:pt>
                <c:pt idx="14">
                  <c:v>4.6</c:v>
                </c:pt>
                <c:pt idx="15">
                  <c:v>4.6</c:v>
                </c:pt>
                <c:pt idx="16">
                  <c:v>4.6</c:v>
                </c:pt>
                <c:pt idx="17">
                  <c:v>4.6</c:v>
                </c:pt>
                <c:pt idx="18">
                  <c:v>4.6</c:v>
                </c:pt>
                <c:pt idx="19">
                  <c:v>4.6</c:v>
                </c:pt>
                <c:pt idx="20">
                  <c:v>4.6</c:v>
                </c:pt>
                <c:pt idx="21">
                  <c:v>4.6</c:v>
                </c:pt>
                <c:pt idx="22">
                  <c:v>4.6</c:v>
                </c:pt>
                <c:pt idx="23">
                  <c:v>4.4</c:v>
                </c:pt>
                <c:pt idx="24">
                  <c:v>4.4</c:v>
                </c:pt>
                <c:pt idx="25">
                  <c:v>4.4</c:v>
                </c:pt>
                <c:pt idx="26">
                  <c:v>4.4</c:v>
                </c:pt>
                <c:pt idx="27">
                  <c:v>4.4</c:v>
                </c:pt>
                <c:pt idx="28">
                  <c:v>4.4</c:v>
                </c:pt>
                <c:pt idx="29">
                  <c:v>4.4</c:v>
                </c:pt>
                <c:pt idx="30">
                  <c:v>4.4</c:v>
                </c:pt>
                <c:pt idx="31">
                  <c:v>4.4</c:v>
                </c:pt>
                <c:pt idx="32">
                  <c:v>4.4</c:v>
                </c:pt>
                <c:pt idx="33">
                  <c:v>4.4</c:v>
                </c:pt>
                <c:pt idx="34">
                  <c:v>4.4</c:v>
                </c:pt>
                <c:pt idx="35">
                  <c:v>4.4</c:v>
                </c:pt>
                <c:pt idx="36">
                  <c:v>4.3</c:v>
                </c:pt>
                <c:pt idx="37">
                  <c:v>4.3</c:v>
                </c:pt>
                <c:pt idx="38">
                  <c:v>4.3</c:v>
                </c:pt>
                <c:pt idx="39">
                  <c:v>4.3</c:v>
                </c:pt>
                <c:pt idx="40">
                  <c:v>4.3</c:v>
                </c:pt>
                <c:pt idx="41">
                  <c:v>4.2</c:v>
                </c:pt>
                <c:pt idx="42">
                  <c:v>4.2</c:v>
                </c:pt>
                <c:pt idx="43">
                  <c:v>4.2</c:v>
                </c:pt>
                <c:pt idx="44">
                  <c:v>4.2</c:v>
                </c:pt>
                <c:pt idx="45">
                  <c:v>4</c:v>
                </c:pt>
                <c:pt idx="46">
                  <c:v>4</c:v>
                </c:pt>
                <c:pt idx="47">
                  <c:v>4</c:v>
                </c:pt>
                <c:pt idx="48">
                  <c:v>4</c:v>
                </c:pt>
                <c:pt idx="49">
                  <c:v>4</c:v>
                </c:pt>
                <c:pt idx="50">
                  <c:v>3.9</c:v>
                </c:pt>
                <c:pt idx="51">
                  <c:v>3.9</c:v>
                </c:pt>
                <c:pt idx="52">
                  <c:v>3.9</c:v>
                </c:pt>
                <c:pt idx="53">
                  <c:v>3.9</c:v>
                </c:pt>
                <c:pt idx="54">
                  <c:v>3.8</c:v>
                </c:pt>
                <c:pt idx="55">
                  <c:v>3.8</c:v>
                </c:pt>
                <c:pt idx="56">
                  <c:v>3.8</c:v>
                </c:pt>
                <c:pt idx="57">
                  <c:v>3.8</c:v>
                </c:pt>
                <c:pt idx="58">
                  <c:v>3.7</c:v>
                </c:pt>
                <c:pt idx="59">
                  <c:v>3.7</c:v>
                </c:pt>
                <c:pt idx="60">
                  <c:v>3.7</c:v>
                </c:pt>
                <c:pt idx="61">
                  <c:v>3.7</c:v>
                </c:pt>
                <c:pt idx="62">
                  <c:v>3.7</c:v>
                </c:pt>
                <c:pt idx="63">
                  <c:v>3.7</c:v>
                </c:pt>
                <c:pt idx="64">
                  <c:v>3.7</c:v>
                </c:pt>
                <c:pt idx="65">
                  <c:v>3.7</c:v>
                </c:pt>
                <c:pt idx="66">
                  <c:v>3.7</c:v>
                </c:pt>
                <c:pt idx="67">
                  <c:v>3.6</c:v>
                </c:pt>
                <c:pt idx="68">
                  <c:v>3.6</c:v>
                </c:pt>
                <c:pt idx="69">
                  <c:v>3.6</c:v>
                </c:pt>
                <c:pt idx="70">
                  <c:v>3.6</c:v>
                </c:pt>
                <c:pt idx="71">
                  <c:v>3.6</c:v>
                </c:pt>
                <c:pt idx="72">
                  <c:v>3.6</c:v>
                </c:pt>
                <c:pt idx="73">
                  <c:v>3.6</c:v>
                </c:pt>
                <c:pt idx="74">
                  <c:v>3.6</c:v>
                </c:pt>
                <c:pt idx="75">
                  <c:v>3.6</c:v>
                </c:pt>
                <c:pt idx="76">
                  <c:v>3.6</c:v>
                </c:pt>
                <c:pt idx="77">
                  <c:v>3.6</c:v>
                </c:pt>
                <c:pt idx="78">
                  <c:v>3.6</c:v>
                </c:pt>
                <c:pt idx="79">
                  <c:v>3.5</c:v>
                </c:pt>
                <c:pt idx="80">
                  <c:v>3.5</c:v>
                </c:pt>
                <c:pt idx="81">
                  <c:v>3.5</c:v>
                </c:pt>
                <c:pt idx="82">
                  <c:v>3.4</c:v>
                </c:pt>
                <c:pt idx="83">
                  <c:v>3.4</c:v>
                </c:pt>
                <c:pt idx="84">
                  <c:v>3.4</c:v>
                </c:pt>
                <c:pt idx="85">
                  <c:v>3.4</c:v>
                </c:pt>
                <c:pt idx="86">
                  <c:v>3.4</c:v>
                </c:pt>
                <c:pt idx="87">
                  <c:v>3.4</c:v>
                </c:pt>
                <c:pt idx="88">
                  <c:v>3.4</c:v>
                </c:pt>
                <c:pt idx="89">
                  <c:v>3.4</c:v>
                </c:pt>
                <c:pt idx="90">
                  <c:v>3.4</c:v>
                </c:pt>
                <c:pt idx="91">
                  <c:v>3.4</c:v>
                </c:pt>
                <c:pt idx="92">
                  <c:v>3.4</c:v>
                </c:pt>
                <c:pt idx="93">
                  <c:v>3.4</c:v>
                </c:pt>
                <c:pt idx="94">
                  <c:v>3.4</c:v>
                </c:pt>
                <c:pt idx="95">
                  <c:v>3.4</c:v>
                </c:pt>
                <c:pt idx="96">
                  <c:v>3.4</c:v>
                </c:pt>
                <c:pt idx="97">
                  <c:v>3.4</c:v>
                </c:pt>
                <c:pt idx="98">
                  <c:v>3.4</c:v>
                </c:pt>
                <c:pt idx="99">
                  <c:v>3.3</c:v>
                </c:pt>
                <c:pt idx="100">
                  <c:v>3.3</c:v>
                </c:pt>
                <c:pt idx="101">
                  <c:v>3.3</c:v>
                </c:pt>
                <c:pt idx="102">
                  <c:v>3.1</c:v>
                </c:pt>
                <c:pt idx="103">
                  <c:v>3.1</c:v>
                </c:pt>
                <c:pt idx="104">
                  <c:v>3.1</c:v>
                </c:pt>
                <c:pt idx="105">
                  <c:v>3.1</c:v>
                </c:pt>
                <c:pt idx="106">
                  <c:v>3.1</c:v>
                </c:pt>
                <c:pt idx="107">
                  <c:v>3.1</c:v>
                </c:pt>
                <c:pt idx="108">
                  <c:v>3.1</c:v>
                </c:pt>
                <c:pt idx="109">
                  <c:v>3.1</c:v>
                </c:pt>
                <c:pt idx="110">
                  <c:v>3</c:v>
                </c:pt>
                <c:pt idx="111">
                  <c:v>3</c:v>
                </c:pt>
                <c:pt idx="112">
                  <c:v>3</c:v>
                </c:pt>
                <c:pt idx="113">
                  <c:v>3</c:v>
                </c:pt>
                <c:pt idx="114">
                  <c:v>3</c:v>
                </c:pt>
                <c:pt idx="115">
                  <c:v>3</c:v>
                </c:pt>
                <c:pt idx="116">
                  <c:v>3</c:v>
                </c:pt>
                <c:pt idx="117">
                  <c:v>3</c:v>
                </c:pt>
                <c:pt idx="118">
                  <c:v>3</c:v>
                </c:pt>
                <c:pt idx="119">
                  <c:v>3</c:v>
                </c:pt>
                <c:pt idx="120">
                  <c:v>2.9</c:v>
                </c:pt>
                <c:pt idx="121">
                  <c:v>2.9</c:v>
                </c:pt>
                <c:pt idx="122">
                  <c:v>2.9</c:v>
                </c:pt>
                <c:pt idx="123">
                  <c:v>2.8</c:v>
                </c:pt>
                <c:pt idx="124">
                  <c:v>2.8</c:v>
                </c:pt>
                <c:pt idx="125">
                  <c:v>2.7</c:v>
                </c:pt>
                <c:pt idx="126">
                  <c:v>2.6</c:v>
                </c:pt>
                <c:pt idx="127">
                  <c:v>2.6</c:v>
                </c:pt>
                <c:pt idx="128">
                  <c:v>2.6</c:v>
                </c:pt>
                <c:pt idx="129">
                  <c:v>2.5</c:v>
                </c:pt>
                <c:pt idx="130">
                  <c:v>2.5</c:v>
                </c:pt>
                <c:pt idx="131">
                  <c:v>2.5</c:v>
                </c:pt>
                <c:pt idx="132">
                  <c:v>2.4</c:v>
                </c:pt>
                <c:pt idx="133">
                  <c:v>2.4</c:v>
                </c:pt>
                <c:pt idx="134">
                  <c:v>2.4</c:v>
                </c:pt>
                <c:pt idx="135">
                  <c:v>2.3</c:v>
                </c:pt>
                <c:pt idx="136">
                  <c:v>2.2</c:v>
                </c:pt>
                <c:pt idx="137">
                  <c:v>1.8</c:v>
                </c:pt>
                <c:pt idx="138">
                  <c:v>1.8</c:v>
                </c:pt>
                <c:pt idx="139">
                  <c:v>1.8</c:v>
                </c:pt>
                <c:pt idx="140">
                  <c:v>1.8</c:v>
                </c:pt>
                <c:pt idx="141">
                  <c:v>1.8</c:v>
                </c:pt>
                <c:pt idx="142">
                  <c:v>1.7</c:v>
                </c:pt>
                <c:pt idx="143">
                  <c:v>1.7</c:v>
                </c:pt>
                <c:pt idx="144">
                  <c:v>1.6</c:v>
                </c:pt>
                <c:pt idx="145">
                  <c:v>1.5</c:v>
                </c:pt>
                <c:pt idx="146">
                  <c:v>1.3</c:v>
                </c:pt>
                <c:pt idx="147">
                  <c:v>1.1</c:v>
                </c:pt>
                <c:pt idx="148">
                  <c:v>1.1</c:v>
                </c:pt>
                <c:pt idx="149">
                  <c:v>1</c:v>
                </c:pt>
              </c:numCache>
            </c:numRef>
          </c:val>
        </c:ser>
        <c:ser>
          <c:idx val="3"/>
          <c:order val="3"/>
          <c:tx>
            <c:strRef>
              <c:f>Sheet2!$D$1:$D$2</c:f>
              <c:strCache>
                <c:ptCount val="1"/>
                <c:pt idx="0">
                  <c:v>MeanIO IOX</c:v>
                </c:pt>
              </c:strCache>
            </c:strRef>
          </c:tx>
          <c:invertIfNegative val="0"/>
          <c:dLbls>
            <c:delete val="1"/>
          </c:dLbls>
          <c:val>
            <c:numRef>
              <c:f>Sheet2!$D$3:$D$152</c:f>
              <c:numCache>
                <c:formatCode>General</c:formatCode>
                <c:ptCount val="150"/>
                <c:pt idx="0">
                  <c:v>5</c:v>
                </c:pt>
                <c:pt idx="1">
                  <c:v>4.9</c:v>
                </c:pt>
                <c:pt idx="2">
                  <c:v>4.9</c:v>
                </c:pt>
                <c:pt idx="3">
                  <c:v>4.7</c:v>
                </c:pt>
                <c:pt idx="4">
                  <c:v>4.7</c:v>
                </c:pt>
                <c:pt idx="5">
                  <c:v>4.7</c:v>
                </c:pt>
                <c:pt idx="6">
                  <c:v>4.7</c:v>
                </c:pt>
                <c:pt idx="7">
                  <c:v>4.7</c:v>
                </c:pt>
                <c:pt idx="8">
                  <c:v>4.7</c:v>
                </c:pt>
                <c:pt idx="9">
                  <c:v>4.7</c:v>
                </c:pt>
                <c:pt idx="10">
                  <c:v>4.6</c:v>
                </c:pt>
                <c:pt idx="11">
                  <c:v>4.6</c:v>
                </c:pt>
                <c:pt idx="12">
                  <c:v>4.6</c:v>
                </c:pt>
                <c:pt idx="13">
                  <c:v>4.6</c:v>
                </c:pt>
                <c:pt idx="14">
                  <c:v>4.6</c:v>
                </c:pt>
                <c:pt idx="15">
                  <c:v>4.6</c:v>
                </c:pt>
                <c:pt idx="16">
                  <c:v>4.6</c:v>
                </c:pt>
                <c:pt idx="17">
                  <c:v>4.6</c:v>
                </c:pt>
                <c:pt idx="18">
                  <c:v>4.6</c:v>
                </c:pt>
                <c:pt idx="19">
                  <c:v>4.6</c:v>
                </c:pt>
                <c:pt idx="20">
                  <c:v>4.6</c:v>
                </c:pt>
                <c:pt idx="21">
                  <c:v>4.6</c:v>
                </c:pt>
                <c:pt idx="22">
                  <c:v>4.6</c:v>
                </c:pt>
                <c:pt idx="23">
                  <c:v>4.6</c:v>
                </c:pt>
                <c:pt idx="24">
                  <c:v>4.6</c:v>
                </c:pt>
                <c:pt idx="25">
                  <c:v>4.6</c:v>
                </c:pt>
                <c:pt idx="26">
                  <c:v>4.6</c:v>
                </c:pt>
                <c:pt idx="27">
                  <c:v>4.6</c:v>
                </c:pt>
                <c:pt idx="28">
                  <c:v>4.6</c:v>
                </c:pt>
                <c:pt idx="29">
                  <c:v>4.5</c:v>
                </c:pt>
                <c:pt idx="30">
                  <c:v>4.5</c:v>
                </c:pt>
                <c:pt idx="31">
                  <c:v>4.5</c:v>
                </c:pt>
                <c:pt idx="32">
                  <c:v>4.5</c:v>
                </c:pt>
                <c:pt idx="33">
                  <c:v>4.4</c:v>
                </c:pt>
                <c:pt idx="34">
                  <c:v>4.4</c:v>
                </c:pt>
                <c:pt idx="35">
                  <c:v>4.3</c:v>
                </c:pt>
                <c:pt idx="36">
                  <c:v>4.3</c:v>
                </c:pt>
                <c:pt idx="37">
                  <c:v>4.3</c:v>
                </c:pt>
                <c:pt idx="38">
                  <c:v>4.3</c:v>
                </c:pt>
                <c:pt idx="39">
                  <c:v>4.3</c:v>
                </c:pt>
                <c:pt idx="40">
                  <c:v>4.3</c:v>
                </c:pt>
                <c:pt idx="41">
                  <c:v>4.3</c:v>
                </c:pt>
                <c:pt idx="42">
                  <c:v>4.3</c:v>
                </c:pt>
                <c:pt idx="43">
                  <c:v>4.3</c:v>
                </c:pt>
                <c:pt idx="44">
                  <c:v>4.3</c:v>
                </c:pt>
                <c:pt idx="45">
                  <c:v>4.2</c:v>
                </c:pt>
                <c:pt idx="46">
                  <c:v>4.2</c:v>
                </c:pt>
                <c:pt idx="47">
                  <c:v>4.2</c:v>
                </c:pt>
                <c:pt idx="48">
                  <c:v>4.1</c:v>
                </c:pt>
                <c:pt idx="49">
                  <c:v>4.1</c:v>
                </c:pt>
                <c:pt idx="50">
                  <c:v>4.1</c:v>
                </c:pt>
                <c:pt idx="51">
                  <c:v>4.1</c:v>
                </c:pt>
                <c:pt idx="52">
                  <c:v>4.1</c:v>
                </c:pt>
                <c:pt idx="53">
                  <c:v>4.1</c:v>
                </c:pt>
                <c:pt idx="54">
                  <c:v>4.1</c:v>
                </c:pt>
                <c:pt idx="55">
                  <c:v>4</c:v>
                </c:pt>
                <c:pt idx="56">
                  <c:v>4</c:v>
                </c:pt>
                <c:pt idx="57">
                  <c:v>4</c:v>
                </c:pt>
                <c:pt idx="58">
                  <c:v>4</c:v>
                </c:pt>
                <c:pt idx="59">
                  <c:v>4</c:v>
                </c:pt>
                <c:pt idx="60">
                  <c:v>4</c:v>
                </c:pt>
                <c:pt idx="61">
                  <c:v>4</c:v>
                </c:pt>
                <c:pt idx="62">
                  <c:v>4</c:v>
                </c:pt>
                <c:pt idx="63">
                  <c:v>3.9</c:v>
                </c:pt>
                <c:pt idx="64">
                  <c:v>3.8</c:v>
                </c:pt>
                <c:pt idx="65">
                  <c:v>3.8</c:v>
                </c:pt>
                <c:pt idx="66">
                  <c:v>3.8</c:v>
                </c:pt>
                <c:pt idx="67">
                  <c:v>3.7</c:v>
                </c:pt>
                <c:pt idx="68">
                  <c:v>3.7</c:v>
                </c:pt>
                <c:pt idx="69">
                  <c:v>3.7</c:v>
                </c:pt>
                <c:pt idx="70">
                  <c:v>3.7</c:v>
                </c:pt>
                <c:pt idx="71">
                  <c:v>3.6</c:v>
                </c:pt>
                <c:pt idx="72">
                  <c:v>3.6</c:v>
                </c:pt>
                <c:pt idx="73">
                  <c:v>3.6</c:v>
                </c:pt>
                <c:pt idx="74">
                  <c:v>3.6</c:v>
                </c:pt>
                <c:pt idx="75">
                  <c:v>3.6</c:v>
                </c:pt>
                <c:pt idx="76">
                  <c:v>3.6</c:v>
                </c:pt>
                <c:pt idx="77">
                  <c:v>3.6</c:v>
                </c:pt>
                <c:pt idx="78">
                  <c:v>3.6</c:v>
                </c:pt>
                <c:pt idx="79">
                  <c:v>3.6</c:v>
                </c:pt>
                <c:pt idx="80">
                  <c:v>3.5</c:v>
                </c:pt>
                <c:pt idx="81">
                  <c:v>3.5</c:v>
                </c:pt>
                <c:pt idx="82">
                  <c:v>3.5</c:v>
                </c:pt>
                <c:pt idx="83">
                  <c:v>3.5</c:v>
                </c:pt>
                <c:pt idx="84">
                  <c:v>3.4</c:v>
                </c:pt>
                <c:pt idx="85">
                  <c:v>3.4</c:v>
                </c:pt>
                <c:pt idx="86">
                  <c:v>3.4</c:v>
                </c:pt>
                <c:pt idx="87">
                  <c:v>3.3</c:v>
                </c:pt>
                <c:pt idx="88">
                  <c:v>3.3</c:v>
                </c:pt>
                <c:pt idx="89">
                  <c:v>3.3</c:v>
                </c:pt>
                <c:pt idx="90">
                  <c:v>3.3</c:v>
                </c:pt>
                <c:pt idx="91">
                  <c:v>3.3</c:v>
                </c:pt>
                <c:pt idx="92">
                  <c:v>3.3</c:v>
                </c:pt>
                <c:pt idx="93">
                  <c:v>3.3</c:v>
                </c:pt>
                <c:pt idx="94">
                  <c:v>3.3</c:v>
                </c:pt>
                <c:pt idx="95">
                  <c:v>3.3</c:v>
                </c:pt>
                <c:pt idx="96">
                  <c:v>3.3</c:v>
                </c:pt>
                <c:pt idx="97">
                  <c:v>3.3</c:v>
                </c:pt>
                <c:pt idx="98">
                  <c:v>3.3</c:v>
                </c:pt>
                <c:pt idx="99">
                  <c:v>3</c:v>
                </c:pt>
                <c:pt idx="100">
                  <c:v>3</c:v>
                </c:pt>
                <c:pt idx="101">
                  <c:v>3</c:v>
                </c:pt>
                <c:pt idx="102">
                  <c:v>3</c:v>
                </c:pt>
                <c:pt idx="103">
                  <c:v>3</c:v>
                </c:pt>
                <c:pt idx="104">
                  <c:v>3</c:v>
                </c:pt>
                <c:pt idx="105">
                  <c:v>3</c:v>
                </c:pt>
                <c:pt idx="106">
                  <c:v>3</c:v>
                </c:pt>
                <c:pt idx="107">
                  <c:v>3</c:v>
                </c:pt>
                <c:pt idx="108">
                  <c:v>2.9</c:v>
                </c:pt>
                <c:pt idx="109">
                  <c:v>2.9</c:v>
                </c:pt>
                <c:pt idx="110">
                  <c:v>2.9</c:v>
                </c:pt>
                <c:pt idx="111">
                  <c:v>2.9</c:v>
                </c:pt>
                <c:pt idx="112">
                  <c:v>2.9</c:v>
                </c:pt>
                <c:pt idx="113">
                  <c:v>2.8</c:v>
                </c:pt>
                <c:pt idx="114">
                  <c:v>2.8</c:v>
                </c:pt>
                <c:pt idx="115">
                  <c:v>2.7</c:v>
                </c:pt>
                <c:pt idx="116">
                  <c:v>2.5</c:v>
                </c:pt>
                <c:pt idx="117">
                  <c:v>2.5</c:v>
                </c:pt>
                <c:pt idx="118">
                  <c:v>2.5</c:v>
                </c:pt>
                <c:pt idx="119">
                  <c:v>2.5</c:v>
                </c:pt>
                <c:pt idx="120">
                  <c:v>2.5</c:v>
                </c:pt>
                <c:pt idx="121">
                  <c:v>2.4</c:v>
                </c:pt>
                <c:pt idx="122">
                  <c:v>2.4</c:v>
                </c:pt>
                <c:pt idx="123">
                  <c:v>2.4</c:v>
                </c:pt>
                <c:pt idx="124">
                  <c:v>2.4</c:v>
                </c:pt>
                <c:pt idx="125">
                  <c:v>2.4</c:v>
                </c:pt>
                <c:pt idx="126">
                  <c:v>2.4</c:v>
                </c:pt>
                <c:pt idx="127">
                  <c:v>2.4</c:v>
                </c:pt>
                <c:pt idx="128">
                  <c:v>2.3</c:v>
                </c:pt>
                <c:pt idx="129">
                  <c:v>2.3</c:v>
                </c:pt>
                <c:pt idx="130">
                  <c:v>2.2</c:v>
                </c:pt>
                <c:pt idx="131">
                  <c:v>2.1</c:v>
                </c:pt>
                <c:pt idx="132">
                  <c:v>2.1</c:v>
                </c:pt>
                <c:pt idx="133">
                  <c:v>2.1</c:v>
                </c:pt>
                <c:pt idx="134">
                  <c:v>2.1</c:v>
                </c:pt>
                <c:pt idx="135">
                  <c:v>2.1</c:v>
                </c:pt>
                <c:pt idx="136">
                  <c:v>1.9</c:v>
                </c:pt>
                <c:pt idx="137">
                  <c:v>1.8</c:v>
                </c:pt>
                <c:pt idx="138">
                  <c:v>1.8</c:v>
                </c:pt>
                <c:pt idx="139">
                  <c:v>1.7</c:v>
                </c:pt>
                <c:pt idx="140">
                  <c:v>1.7</c:v>
                </c:pt>
                <c:pt idx="141">
                  <c:v>1.6</c:v>
                </c:pt>
                <c:pt idx="142">
                  <c:v>1.5</c:v>
                </c:pt>
                <c:pt idx="143">
                  <c:v>1.5</c:v>
                </c:pt>
                <c:pt idx="144">
                  <c:v>1.3</c:v>
                </c:pt>
                <c:pt idx="145">
                  <c:v>1.1</c:v>
                </c:pt>
                <c:pt idx="146">
                  <c:v>1</c:v>
                </c:pt>
                <c:pt idx="147">
                  <c:v>1</c:v>
                </c:pt>
                <c:pt idx="148">
                  <c:v>1</c:v>
                </c:pt>
                <c:pt idx="149">
                  <c:v>1</c:v>
                </c:pt>
              </c:numCache>
            </c:numRef>
          </c:val>
        </c:ser>
        <c:dLbls>
          <c:showLegendKey val="0"/>
          <c:showVal val="0"/>
          <c:showCatName val="0"/>
          <c:showSerName val="0"/>
          <c:showPercent val="0"/>
          <c:showBubbleSize val="0"/>
        </c:dLbls>
        <c:gapWidth val="150"/>
        <c:axId val="151383040"/>
        <c:axId val="737481472"/>
      </c:barChart>
      <c:catAx>
        <c:axId val="151383040"/>
        <c:scaling>
          <c:orientation val="minMax"/>
        </c:scaling>
        <c:delete val="0"/>
        <c:axPos val="b"/>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737481472"/>
        <c:crosses val="autoZero"/>
        <c:auto val="1"/>
        <c:lblAlgn val="ctr"/>
        <c:lblOffset val="100"/>
        <c:noMultiLvlLbl val="0"/>
      </c:catAx>
      <c:valAx>
        <c:axId val="73748147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151383040"/>
        <c:crosses val="autoZero"/>
        <c:crossBetween val="between"/>
      </c:valAx>
    </c:plotArea>
    <c:legend>
      <c:legendPos val="r"/>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c5431e36-9e7d-4d93-bc60-dd690232217e}"/>
      </c:ext>
    </c:extLst>
  </c:chart>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Sheet2!$A$1:$A$2</c:f>
              <c:strCache>
                <c:ptCount val="1"/>
                <c:pt idx="0">
                  <c:v>MeanIP IPX</c:v>
                </c:pt>
              </c:strCache>
            </c:strRef>
          </c:tx>
          <c:dLbls>
            <c:delete val="1"/>
          </c:dLbls>
          <c:trendline>
            <c:trendlineType val="linear"/>
            <c:dispRSqr val="1"/>
            <c:dispEq val="1"/>
            <c:trendlineLbl>
              <c:layout/>
              <c:numFmt formatCode="General" sourceLinked="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trendlineLbl>
          </c:trendline>
          <c:trendline>
            <c:spPr>
              <a:ln w="19050" cap="rnd" cmpd="sng" algn="ctr">
                <a:solidFill>
                  <a:schemeClr val="tx1"/>
                </a:solidFill>
                <a:prstDash val="solid"/>
                <a:round/>
              </a:ln>
              <a:effectLst>
                <a:outerShdw blurRad="50800" dist="50800" dir="5400000" sx="5000" sy="5000" algn="ctr" rotWithShape="0">
                  <a:srgbClr val="000000">
                    <a:alpha val="43137"/>
                  </a:srgbClr>
                </a:outerShdw>
              </a:effectLst>
            </c:spPr>
            <c:trendlineType val="linear"/>
            <c:dispRSqr val="0"/>
            <c:dispEq val="0"/>
          </c:trendline>
          <c:val>
            <c:numRef>
              <c:f>Sheet2!$A$3:$A$152</c:f>
              <c:numCache>
                <c:formatCode>General</c:formatCode>
                <c:ptCount val="150"/>
                <c:pt idx="0">
                  <c:v>5</c:v>
                </c:pt>
                <c:pt idx="1">
                  <c:v>4.9</c:v>
                </c:pt>
                <c:pt idx="2">
                  <c:v>4.9</c:v>
                </c:pt>
                <c:pt idx="3">
                  <c:v>4.9</c:v>
                </c:pt>
                <c:pt idx="4">
                  <c:v>4.8</c:v>
                </c:pt>
                <c:pt idx="5">
                  <c:v>4.7</c:v>
                </c:pt>
                <c:pt idx="6">
                  <c:v>4.7</c:v>
                </c:pt>
                <c:pt idx="7">
                  <c:v>4.7</c:v>
                </c:pt>
                <c:pt idx="8">
                  <c:v>4.5</c:v>
                </c:pt>
                <c:pt idx="9">
                  <c:v>4.5</c:v>
                </c:pt>
                <c:pt idx="10">
                  <c:v>4.5</c:v>
                </c:pt>
                <c:pt idx="11">
                  <c:v>4.2</c:v>
                </c:pt>
                <c:pt idx="12">
                  <c:v>4.2</c:v>
                </c:pt>
                <c:pt idx="13">
                  <c:v>4.2</c:v>
                </c:pt>
                <c:pt idx="14">
                  <c:v>4.2</c:v>
                </c:pt>
                <c:pt idx="15">
                  <c:v>4.2</c:v>
                </c:pt>
                <c:pt idx="16">
                  <c:v>4.2</c:v>
                </c:pt>
                <c:pt idx="17">
                  <c:v>4.1</c:v>
                </c:pt>
                <c:pt idx="18">
                  <c:v>4.1</c:v>
                </c:pt>
                <c:pt idx="19">
                  <c:v>4.1</c:v>
                </c:pt>
                <c:pt idx="20">
                  <c:v>4</c:v>
                </c:pt>
                <c:pt idx="21">
                  <c:v>4</c:v>
                </c:pt>
                <c:pt idx="22">
                  <c:v>4</c:v>
                </c:pt>
                <c:pt idx="23">
                  <c:v>4</c:v>
                </c:pt>
                <c:pt idx="24">
                  <c:v>4</c:v>
                </c:pt>
                <c:pt idx="25">
                  <c:v>4</c:v>
                </c:pt>
                <c:pt idx="26">
                  <c:v>4</c:v>
                </c:pt>
                <c:pt idx="27">
                  <c:v>4</c:v>
                </c:pt>
                <c:pt idx="28">
                  <c:v>4</c:v>
                </c:pt>
                <c:pt idx="29">
                  <c:v>4</c:v>
                </c:pt>
                <c:pt idx="30">
                  <c:v>4</c:v>
                </c:pt>
                <c:pt idx="31">
                  <c:v>4</c:v>
                </c:pt>
                <c:pt idx="32">
                  <c:v>3.9</c:v>
                </c:pt>
                <c:pt idx="33">
                  <c:v>3.9</c:v>
                </c:pt>
                <c:pt idx="34">
                  <c:v>3.9</c:v>
                </c:pt>
                <c:pt idx="35">
                  <c:v>3.8</c:v>
                </c:pt>
                <c:pt idx="36">
                  <c:v>3.8</c:v>
                </c:pt>
                <c:pt idx="37">
                  <c:v>3.8</c:v>
                </c:pt>
                <c:pt idx="38">
                  <c:v>3.8</c:v>
                </c:pt>
                <c:pt idx="39">
                  <c:v>3.8</c:v>
                </c:pt>
                <c:pt idx="40">
                  <c:v>3.5</c:v>
                </c:pt>
                <c:pt idx="41">
                  <c:v>3.5</c:v>
                </c:pt>
                <c:pt idx="42">
                  <c:v>3.5</c:v>
                </c:pt>
                <c:pt idx="43">
                  <c:v>3.4</c:v>
                </c:pt>
                <c:pt idx="44">
                  <c:v>3.4</c:v>
                </c:pt>
                <c:pt idx="45">
                  <c:v>3.4</c:v>
                </c:pt>
                <c:pt idx="46">
                  <c:v>3.4</c:v>
                </c:pt>
                <c:pt idx="47">
                  <c:v>3.4</c:v>
                </c:pt>
                <c:pt idx="48">
                  <c:v>3.4</c:v>
                </c:pt>
                <c:pt idx="49">
                  <c:v>3.4</c:v>
                </c:pt>
                <c:pt idx="50">
                  <c:v>3.4</c:v>
                </c:pt>
                <c:pt idx="51">
                  <c:v>3.4</c:v>
                </c:pt>
                <c:pt idx="52">
                  <c:v>3.4</c:v>
                </c:pt>
                <c:pt idx="53">
                  <c:v>3.4</c:v>
                </c:pt>
                <c:pt idx="54">
                  <c:v>3.3</c:v>
                </c:pt>
                <c:pt idx="55">
                  <c:v>3.3</c:v>
                </c:pt>
                <c:pt idx="56">
                  <c:v>3.3</c:v>
                </c:pt>
                <c:pt idx="57">
                  <c:v>3.3</c:v>
                </c:pt>
                <c:pt idx="58">
                  <c:v>3.3</c:v>
                </c:pt>
                <c:pt idx="59">
                  <c:v>3.3</c:v>
                </c:pt>
                <c:pt idx="60">
                  <c:v>3.3</c:v>
                </c:pt>
                <c:pt idx="61">
                  <c:v>3.3</c:v>
                </c:pt>
                <c:pt idx="62">
                  <c:v>3.3</c:v>
                </c:pt>
                <c:pt idx="63">
                  <c:v>3.3</c:v>
                </c:pt>
                <c:pt idx="64">
                  <c:v>3.3</c:v>
                </c:pt>
                <c:pt idx="65">
                  <c:v>3.3</c:v>
                </c:pt>
                <c:pt idx="66">
                  <c:v>3.3</c:v>
                </c:pt>
                <c:pt idx="67">
                  <c:v>3.3</c:v>
                </c:pt>
                <c:pt idx="68">
                  <c:v>3.3</c:v>
                </c:pt>
                <c:pt idx="69">
                  <c:v>3.3</c:v>
                </c:pt>
                <c:pt idx="70">
                  <c:v>3.2</c:v>
                </c:pt>
                <c:pt idx="71">
                  <c:v>3.2</c:v>
                </c:pt>
                <c:pt idx="72">
                  <c:v>3</c:v>
                </c:pt>
                <c:pt idx="73">
                  <c:v>3</c:v>
                </c:pt>
                <c:pt idx="74">
                  <c:v>3</c:v>
                </c:pt>
                <c:pt idx="75">
                  <c:v>3</c:v>
                </c:pt>
                <c:pt idx="76">
                  <c:v>3</c:v>
                </c:pt>
                <c:pt idx="77">
                  <c:v>2.9</c:v>
                </c:pt>
                <c:pt idx="78">
                  <c:v>2.9</c:v>
                </c:pt>
                <c:pt idx="79">
                  <c:v>2.9</c:v>
                </c:pt>
                <c:pt idx="80">
                  <c:v>2.9</c:v>
                </c:pt>
                <c:pt idx="81">
                  <c:v>2.9</c:v>
                </c:pt>
                <c:pt idx="82">
                  <c:v>2.9</c:v>
                </c:pt>
                <c:pt idx="83">
                  <c:v>2.9</c:v>
                </c:pt>
                <c:pt idx="84">
                  <c:v>2.9</c:v>
                </c:pt>
                <c:pt idx="85">
                  <c:v>2.9</c:v>
                </c:pt>
                <c:pt idx="86">
                  <c:v>2.9</c:v>
                </c:pt>
                <c:pt idx="87">
                  <c:v>2.8</c:v>
                </c:pt>
                <c:pt idx="88">
                  <c:v>2.8</c:v>
                </c:pt>
                <c:pt idx="89">
                  <c:v>2.8</c:v>
                </c:pt>
                <c:pt idx="90">
                  <c:v>2.8</c:v>
                </c:pt>
                <c:pt idx="91">
                  <c:v>2.8</c:v>
                </c:pt>
                <c:pt idx="92">
                  <c:v>2.8</c:v>
                </c:pt>
                <c:pt idx="93">
                  <c:v>2.8</c:v>
                </c:pt>
                <c:pt idx="94">
                  <c:v>2.8</c:v>
                </c:pt>
                <c:pt idx="95">
                  <c:v>2.8</c:v>
                </c:pt>
                <c:pt idx="96">
                  <c:v>2.8</c:v>
                </c:pt>
                <c:pt idx="97">
                  <c:v>2.7</c:v>
                </c:pt>
                <c:pt idx="98">
                  <c:v>2.6</c:v>
                </c:pt>
                <c:pt idx="99">
                  <c:v>2.6</c:v>
                </c:pt>
                <c:pt idx="100">
                  <c:v>2.6</c:v>
                </c:pt>
                <c:pt idx="101">
                  <c:v>2.5</c:v>
                </c:pt>
                <c:pt idx="102">
                  <c:v>2.5</c:v>
                </c:pt>
                <c:pt idx="103">
                  <c:v>2.5</c:v>
                </c:pt>
                <c:pt idx="104">
                  <c:v>2.5</c:v>
                </c:pt>
                <c:pt idx="105">
                  <c:v>2.5</c:v>
                </c:pt>
                <c:pt idx="106">
                  <c:v>2.5</c:v>
                </c:pt>
                <c:pt idx="107">
                  <c:v>2.5</c:v>
                </c:pt>
                <c:pt idx="108">
                  <c:v>2.5</c:v>
                </c:pt>
                <c:pt idx="109">
                  <c:v>2.5</c:v>
                </c:pt>
                <c:pt idx="110">
                  <c:v>2.5</c:v>
                </c:pt>
                <c:pt idx="111">
                  <c:v>2.5</c:v>
                </c:pt>
                <c:pt idx="112">
                  <c:v>2.5</c:v>
                </c:pt>
                <c:pt idx="113">
                  <c:v>2.4</c:v>
                </c:pt>
                <c:pt idx="114">
                  <c:v>2.4</c:v>
                </c:pt>
                <c:pt idx="115">
                  <c:v>2.4</c:v>
                </c:pt>
                <c:pt idx="116">
                  <c:v>2.4</c:v>
                </c:pt>
                <c:pt idx="117">
                  <c:v>2.4</c:v>
                </c:pt>
                <c:pt idx="118">
                  <c:v>2.4</c:v>
                </c:pt>
                <c:pt idx="119">
                  <c:v>2.4</c:v>
                </c:pt>
                <c:pt idx="120">
                  <c:v>2.4</c:v>
                </c:pt>
                <c:pt idx="121">
                  <c:v>2.4</c:v>
                </c:pt>
                <c:pt idx="122">
                  <c:v>2.4</c:v>
                </c:pt>
                <c:pt idx="123">
                  <c:v>2.4</c:v>
                </c:pt>
                <c:pt idx="124">
                  <c:v>2.4</c:v>
                </c:pt>
                <c:pt idx="125">
                  <c:v>2.3</c:v>
                </c:pt>
                <c:pt idx="126">
                  <c:v>2.3</c:v>
                </c:pt>
                <c:pt idx="127">
                  <c:v>2.3</c:v>
                </c:pt>
                <c:pt idx="128">
                  <c:v>2.3</c:v>
                </c:pt>
                <c:pt idx="129">
                  <c:v>2.3</c:v>
                </c:pt>
                <c:pt idx="130">
                  <c:v>2.3</c:v>
                </c:pt>
                <c:pt idx="131">
                  <c:v>2.3</c:v>
                </c:pt>
                <c:pt idx="132">
                  <c:v>2.2</c:v>
                </c:pt>
                <c:pt idx="133">
                  <c:v>2.2</c:v>
                </c:pt>
                <c:pt idx="134">
                  <c:v>2.2</c:v>
                </c:pt>
                <c:pt idx="135">
                  <c:v>2</c:v>
                </c:pt>
                <c:pt idx="136">
                  <c:v>2</c:v>
                </c:pt>
                <c:pt idx="137">
                  <c:v>2</c:v>
                </c:pt>
                <c:pt idx="138">
                  <c:v>1.8</c:v>
                </c:pt>
                <c:pt idx="139">
                  <c:v>1.8</c:v>
                </c:pt>
                <c:pt idx="140">
                  <c:v>1.8</c:v>
                </c:pt>
                <c:pt idx="141">
                  <c:v>1.8</c:v>
                </c:pt>
                <c:pt idx="142">
                  <c:v>1.8</c:v>
                </c:pt>
                <c:pt idx="143">
                  <c:v>1.5</c:v>
                </c:pt>
                <c:pt idx="144">
                  <c:v>1.5</c:v>
                </c:pt>
                <c:pt idx="145">
                  <c:v>1.5</c:v>
                </c:pt>
                <c:pt idx="146">
                  <c:v>1.4</c:v>
                </c:pt>
                <c:pt idx="147">
                  <c:v>1.4</c:v>
                </c:pt>
                <c:pt idx="148">
                  <c:v>1.2</c:v>
                </c:pt>
                <c:pt idx="149">
                  <c:v>1</c:v>
                </c:pt>
              </c:numCache>
            </c:numRef>
          </c:val>
          <c:smooth val="0"/>
        </c:ser>
        <c:ser>
          <c:idx val="1"/>
          <c:order val="1"/>
          <c:tx>
            <c:strRef>
              <c:f>Sheet2!$B$1:$B$2</c:f>
              <c:strCache>
                <c:ptCount val="1"/>
                <c:pt idx="0">
                  <c:v>MeanIC ICX</c:v>
                </c:pt>
              </c:strCache>
            </c:strRef>
          </c:tx>
          <c:dLbls>
            <c:delete val="1"/>
          </c:dLbls>
          <c:trendline>
            <c:spPr>
              <a:ln w="19050" cap="rnd" cmpd="sng" algn="ctr">
                <a:solidFill>
                  <a:schemeClr val="tx1"/>
                </a:solidFill>
                <a:prstDash val="solid"/>
                <a:round/>
              </a:ln>
              <a:effectLst>
                <a:outerShdw blurRad="50800" dist="50800" dir="5400000" sx="5000" sy="5000" algn="ctr" rotWithShape="0">
                  <a:srgbClr val="000000">
                    <a:alpha val="43137"/>
                  </a:srgbClr>
                </a:outerShdw>
              </a:effectLst>
            </c:spPr>
            <c:trendlineType val="linear"/>
            <c:dispRSqr val="1"/>
            <c:dispEq val="1"/>
            <c:trendlineLbl>
              <c:layout/>
              <c:numFmt formatCode="General" sourceLinked="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trendlineLbl>
          </c:trendline>
          <c:val>
            <c:numRef>
              <c:f>Sheet2!$B$3:$B$152</c:f>
              <c:numCache>
                <c:formatCode>General</c:formatCode>
                <c:ptCount val="150"/>
                <c:pt idx="0">
                  <c:v>4.9</c:v>
                </c:pt>
                <c:pt idx="1">
                  <c:v>5</c:v>
                </c:pt>
                <c:pt idx="2">
                  <c:v>5</c:v>
                </c:pt>
                <c:pt idx="3">
                  <c:v>5</c:v>
                </c:pt>
                <c:pt idx="4">
                  <c:v>5</c:v>
                </c:pt>
                <c:pt idx="5">
                  <c:v>5</c:v>
                </c:pt>
                <c:pt idx="6">
                  <c:v>5</c:v>
                </c:pt>
                <c:pt idx="7">
                  <c:v>5</c:v>
                </c:pt>
                <c:pt idx="8">
                  <c:v>5</c:v>
                </c:pt>
                <c:pt idx="9">
                  <c:v>5</c:v>
                </c:pt>
                <c:pt idx="10">
                  <c:v>5</c:v>
                </c:pt>
                <c:pt idx="11">
                  <c:v>5</c:v>
                </c:pt>
                <c:pt idx="12">
                  <c:v>5</c:v>
                </c:pt>
                <c:pt idx="13">
                  <c:v>5</c:v>
                </c:pt>
                <c:pt idx="14">
                  <c:v>5</c:v>
                </c:pt>
                <c:pt idx="15">
                  <c:v>5</c:v>
                </c:pt>
                <c:pt idx="16">
                  <c:v>5</c:v>
                </c:pt>
                <c:pt idx="17">
                  <c:v>5</c:v>
                </c:pt>
                <c:pt idx="18">
                  <c:v>5</c:v>
                </c:pt>
                <c:pt idx="19">
                  <c:v>5</c:v>
                </c:pt>
                <c:pt idx="20">
                  <c:v>5</c:v>
                </c:pt>
                <c:pt idx="21">
                  <c:v>5</c:v>
                </c:pt>
                <c:pt idx="22">
                  <c:v>5</c:v>
                </c:pt>
                <c:pt idx="23">
                  <c:v>5</c:v>
                </c:pt>
                <c:pt idx="24">
                  <c:v>5</c:v>
                </c:pt>
                <c:pt idx="25">
                  <c:v>5</c:v>
                </c:pt>
                <c:pt idx="26">
                  <c:v>5</c:v>
                </c:pt>
                <c:pt idx="27">
                  <c:v>5</c:v>
                </c:pt>
                <c:pt idx="28">
                  <c:v>5</c:v>
                </c:pt>
                <c:pt idx="29">
                  <c:v>5</c:v>
                </c:pt>
                <c:pt idx="30">
                  <c:v>5</c:v>
                </c:pt>
                <c:pt idx="31">
                  <c:v>5</c:v>
                </c:pt>
                <c:pt idx="32">
                  <c:v>5</c:v>
                </c:pt>
                <c:pt idx="33">
                  <c:v>5</c:v>
                </c:pt>
                <c:pt idx="34">
                  <c:v>5</c:v>
                </c:pt>
                <c:pt idx="35">
                  <c:v>5</c:v>
                </c:pt>
                <c:pt idx="36">
                  <c:v>5</c:v>
                </c:pt>
                <c:pt idx="37">
                  <c:v>5</c:v>
                </c:pt>
                <c:pt idx="38">
                  <c:v>5</c:v>
                </c:pt>
                <c:pt idx="39">
                  <c:v>5</c:v>
                </c:pt>
                <c:pt idx="40">
                  <c:v>5</c:v>
                </c:pt>
                <c:pt idx="41">
                  <c:v>5</c:v>
                </c:pt>
                <c:pt idx="42">
                  <c:v>5</c:v>
                </c:pt>
                <c:pt idx="43">
                  <c:v>5</c:v>
                </c:pt>
                <c:pt idx="44">
                  <c:v>5</c:v>
                </c:pt>
                <c:pt idx="45">
                  <c:v>5</c:v>
                </c:pt>
                <c:pt idx="46">
                  <c:v>5</c:v>
                </c:pt>
                <c:pt idx="47">
                  <c:v>5</c:v>
                </c:pt>
                <c:pt idx="48">
                  <c:v>5</c:v>
                </c:pt>
                <c:pt idx="49">
                  <c:v>5</c:v>
                </c:pt>
                <c:pt idx="50">
                  <c:v>5</c:v>
                </c:pt>
                <c:pt idx="51">
                  <c:v>5</c:v>
                </c:pt>
                <c:pt idx="52">
                  <c:v>5</c:v>
                </c:pt>
                <c:pt idx="53">
                  <c:v>4.9</c:v>
                </c:pt>
                <c:pt idx="54">
                  <c:v>4.9</c:v>
                </c:pt>
                <c:pt idx="55">
                  <c:v>4.9</c:v>
                </c:pt>
                <c:pt idx="56">
                  <c:v>4.9</c:v>
                </c:pt>
                <c:pt idx="57">
                  <c:v>4.9</c:v>
                </c:pt>
                <c:pt idx="58">
                  <c:v>4.9</c:v>
                </c:pt>
                <c:pt idx="59">
                  <c:v>4.9</c:v>
                </c:pt>
                <c:pt idx="60">
                  <c:v>4.9</c:v>
                </c:pt>
                <c:pt idx="61">
                  <c:v>4.9</c:v>
                </c:pt>
                <c:pt idx="62">
                  <c:v>4.9</c:v>
                </c:pt>
                <c:pt idx="63">
                  <c:v>4.9</c:v>
                </c:pt>
                <c:pt idx="64">
                  <c:v>4.9</c:v>
                </c:pt>
                <c:pt idx="65">
                  <c:v>4.9</c:v>
                </c:pt>
                <c:pt idx="66">
                  <c:v>4.9</c:v>
                </c:pt>
                <c:pt idx="67">
                  <c:v>4.9</c:v>
                </c:pt>
                <c:pt idx="68">
                  <c:v>4.9</c:v>
                </c:pt>
                <c:pt idx="69">
                  <c:v>4.9</c:v>
                </c:pt>
                <c:pt idx="70">
                  <c:v>4.9</c:v>
                </c:pt>
                <c:pt idx="71">
                  <c:v>4.9</c:v>
                </c:pt>
                <c:pt idx="72">
                  <c:v>4.9</c:v>
                </c:pt>
                <c:pt idx="73">
                  <c:v>4.9</c:v>
                </c:pt>
                <c:pt idx="74">
                  <c:v>4.9</c:v>
                </c:pt>
                <c:pt idx="75">
                  <c:v>4.9</c:v>
                </c:pt>
                <c:pt idx="76">
                  <c:v>4.8</c:v>
                </c:pt>
                <c:pt idx="77">
                  <c:v>4.8</c:v>
                </c:pt>
                <c:pt idx="78">
                  <c:v>4.7</c:v>
                </c:pt>
                <c:pt idx="79">
                  <c:v>4.7</c:v>
                </c:pt>
                <c:pt idx="80">
                  <c:v>4.6</c:v>
                </c:pt>
                <c:pt idx="81">
                  <c:v>4.6</c:v>
                </c:pt>
                <c:pt idx="82">
                  <c:v>4.6</c:v>
                </c:pt>
                <c:pt idx="83">
                  <c:v>4.6</c:v>
                </c:pt>
                <c:pt idx="84">
                  <c:v>4.6</c:v>
                </c:pt>
                <c:pt idx="85">
                  <c:v>4.6</c:v>
                </c:pt>
                <c:pt idx="86">
                  <c:v>4.5</c:v>
                </c:pt>
                <c:pt idx="87">
                  <c:v>4.5</c:v>
                </c:pt>
                <c:pt idx="88">
                  <c:v>4.5</c:v>
                </c:pt>
                <c:pt idx="89">
                  <c:v>4.4</c:v>
                </c:pt>
                <c:pt idx="90">
                  <c:v>4.4</c:v>
                </c:pt>
                <c:pt idx="91">
                  <c:v>4.4</c:v>
                </c:pt>
                <c:pt idx="92">
                  <c:v>4.4</c:v>
                </c:pt>
                <c:pt idx="93">
                  <c:v>4.4</c:v>
                </c:pt>
                <c:pt idx="94">
                  <c:v>4.4</c:v>
                </c:pt>
                <c:pt idx="95">
                  <c:v>4.4</c:v>
                </c:pt>
                <c:pt idx="96">
                  <c:v>4.4</c:v>
                </c:pt>
                <c:pt idx="97">
                  <c:v>4.4</c:v>
                </c:pt>
                <c:pt idx="98">
                  <c:v>4.3</c:v>
                </c:pt>
                <c:pt idx="99">
                  <c:v>4.3</c:v>
                </c:pt>
                <c:pt idx="100">
                  <c:v>4.3</c:v>
                </c:pt>
                <c:pt idx="101">
                  <c:v>4.3</c:v>
                </c:pt>
                <c:pt idx="102">
                  <c:v>4.3</c:v>
                </c:pt>
                <c:pt idx="103">
                  <c:v>4.3</c:v>
                </c:pt>
                <c:pt idx="104">
                  <c:v>4.3</c:v>
                </c:pt>
                <c:pt idx="105">
                  <c:v>4.3</c:v>
                </c:pt>
                <c:pt idx="106">
                  <c:v>4.3</c:v>
                </c:pt>
                <c:pt idx="107">
                  <c:v>4.3</c:v>
                </c:pt>
                <c:pt idx="108">
                  <c:v>4.3</c:v>
                </c:pt>
                <c:pt idx="109">
                  <c:v>4.3</c:v>
                </c:pt>
                <c:pt idx="110">
                  <c:v>4.3</c:v>
                </c:pt>
                <c:pt idx="111">
                  <c:v>4.3</c:v>
                </c:pt>
                <c:pt idx="112">
                  <c:v>4.3</c:v>
                </c:pt>
                <c:pt idx="113">
                  <c:v>4.3</c:v>
                </c:pt>
                <c:pt idx="114">
                  <c:v>4.3</c:v>
                </c:pt>
                <c:pt idx="115">
                  <c:v>4.3</c:v>
                </c:pt>
                <c:pt idx="116">
                  <c:v>4.3</c:v>
                </c:pt>
                <c:pt idx="117">
                  <c:v>4.3</c:v>
                </c:pt>
                <c:pt idx="118">
                  <c:v>4.2</c:v>
                </c:pt>
                <c:pt idx="119">
                  <c:v>4.1</c:v>
                </c:pt>
                <c:pt idx="120">
                  <c:v>4.1</c:v>
                </c:pt>
                <c:pt idx="121">
                  <c:v>4.1</c:v>
                </c:pt>
                <c:pt idx="122">
                  <c:v>4.1</c:v>
                </c:pt>
                <c:pt idx="123">
                  <c:v>3.9</c:v>
                </c:pt>
                <c:pt idx="124">
                  <c:v>3.9</c:v>
                </c:pt>
                <c:pt idx="125">
                  <c:v>3.9</c:v>
                </c:pt>
                <c:pt idx="126">
                  <c:v>3.9</c:v>
                </c:pt>
                <c:pt idx="127">
                  <c:v>3.9</c:v>
                </c:pt>
                <c:pt idx="128">
                  <c:v>3.9</c:v>
                </c:pt>
                <c:pt idx="129">
                  <c:v>3.9</c:v>
                </c:pt>
                <c:pt idx="130">
                  <c:v>3.7</c:v>
                </c:pt>
                <c:pt idx="131">
                  <c:v>3.7</c:v>
                </c:pt>
                <c:pt idx="132">
                  <c:v>3.7</c:v>
                </c:pt>
                <c:pt idx="133">
                  <c:v>3.6</c:v>
                </c:pt>
                <c:pt idx="134">
                  <c:v>3.5</c:v>
                </c:pt>
                <c:pt idx="135">
                  <c:v>3.4</c:v>
                </c:pt>
                <c:pt idx="136">
                  <c:v>3.4</c:v>
                </c:pt>
                <c:pt idx="137">
                  <c:v>3.4</c:v>
                </c:pt>
                <c:pt idx="138">
                  <c:v>3.2</c:v>
                </c:pt>
                <c:pt idx="139">
                  <c:v>3.1</c:v>
                </c:pt>
                <c:pt idx="140">
                  <c:v>3.1</c:v>
                </c:pt>
                <c:pt idx="141">
                  <c:v>3</c:v>
                </c:pt>
                <c:pt idx="142">
                  <c:v>2.8</c:v>
                </c:pt>
                <c:pt idx="143">
                  <c:v>2.8</c:v>
                </c:pt>
                <c:pt idx="144">
                  <c:v>2.7</c:v>
                </c:pt>
                <c:pt idx="145">
                  <c:v>2.6</c:v>
                </c:pt>
                <c:pt idx="146">
                  <c:v>2.3</c:v>
                </c:pt>
                <c:pt idx="147">
                  <c:v>2.1</c:v>
                </c:pt>
                <c:pt idx="148">
                  <c:v>2.1</c:v>
                </c:pt>
                <c:pt idx="149">
                  <c:v>2</c:v>
                </c:pt>
              </c:numCache>
            </c:numRef>
          </c:val>
          <c:smooth val="0"/>
        </c:ser>
        <c:ser>
          <c:idx val="2"/>
          <c:order val="2"/>
          <c:tx>
            <c:strRef>
              <c:f>Sheet2!$C$1:$C$2</c:f>
              <c:strCache>
                <c:ptCount val="1"/>
                <c:pt idx="0">
                  <c:v>MeanAP APX</c:v>
                </c:pt>
              </c:strCache>
            </c:strRef>
          </c:tx>
          <c:dLbls>
            <c:delete val="1"/>
          </c:dLbls>
          <c:trendline>
            <c:spPr>
              <a:ln w="19050" cap="rnd" cmpd="sng" algn="ctr">
                <a:solidFill>
                  <a:schemeClr val="tx1"/>
                </a:solidFill>
                <a:prstDash val="solid"/>
                <a:round/>
              </a:ln>
              <a:effectLst>
                <a:outerShdw blurRad="50800" dist="50800" dir="5400000" sx="5000" sy="5000" algn="ctr" rotWithShape="0">
                  <a:srgbClr val="000000">
                    <a:alpha val="43137"/>
                  </a:srgbClr>
                </a:outerShdw>
              </a:effectLst>
            </c:spPr>
            <c:trendlineType val="linear"/>
            <c:dispRSqr val="1"/>
            <c:dispEq val="1"/>
            <c:trendlineLbl>
              <c:layout/>
              <c:numFmt formatCode="General" sourceLinked="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trendlineLbl>
          </c:trendline>
          <c:val>
            <c:numRef>
              <c:f>Sheet2!$C$3:$C$152</c:f>
              <c:numCache>
                <c:formatCode>General</c:formatCode>
                <c:ptCount val="150"/>
                <c:pt idx="0">
                  <c:v>5</c:v>
                </c:pt>
                <c:pt idx="1">
                  <c:v>5</c:v>
                </c:pt>
                <c:pt idx="2">
                  <c:v>5</c:v>
                </c:pt>
                <c:pt idx="3">
                  <c:v>5</c:v>
                </c:pt>
                <c:pt idx="4">
                  <c:v>4.9</c:v>
                </c:pt>
                <c:pt idx="5">
                  <c:v>4.9</c:v>
                </c:pt>
                <c:pt idx="6">
                  <c:v>4.7</c:v>
                </c:pt>
                <c:pt idx="7">
                  <c:v>4.7</c:v>
                </c:pt>
                <c:pt idx="8">
                  <c:v>4.6</c:v>
                </c:pt>
                <c:pt idx="9">
                  <c:v>4.6</c:v>
                </c:pt>
                <c:pt idx="10">
                  <c:v>4.6</c:v>
                </c:pt>
                <c:pt idx="11">
                  <c:v>4.6</c:v>
                </c:pt>
                <c:pt idx="12">
                  <c:v>4.6</c:v>
                </c:pt>
                <c:pt idx="13">
                  <c:v>4.6</c:v>
                </c:pt>
                <c:pt idx="14">
                  <c:v>4.6</c:v>
                </c:pt>
                <c:pt idx="15">
                  <c:v>4.6</c:v>
                </c:pt>
                <c:pt idx="16">
                  <c:v>4.6</c:v>
                </c:pt>
                <c:pt idx="17">
                  <c:v>4.6</c:v>
                </c:pt>
                <c:pt idx="18">
                  <c:v>4.6</c:v>
                </c:pt>
                <c:pt idx="19">
                  <c:v>4.6</c:v>
                </c:pt>
                <c:pt idx="20">
                  <c:v>4.6</c:v>
                </c:pt>
                <c:pt idx="21">
                  <c:v>4.6</c:v>
                </c:pt>
                <c:pt idx="22">
                  <c:v>4.6</c:v>
                </c:pt>
                <c:pt idx="23">
                  <c:v>4.4</c:v>
                </c:pt>
                <c:pt idx="24">
                  <c:v>4.4</c:v>
                </c:pt>
                <c:pt idx="25">
                  <c:v>4.4</c:v>
                </c:pt>
                <c:pt idx="26">
                  <c:v>4.4</c:v>
                </c:pt>
                <c:pt idx="27">
                  <c:v>4.4</c:v>
                </c:pt>
                <c:pt idx="28">
                  <c:v>4.4</c:v>
                </c:pt>
                <c:pt idx="29">
                  <c:v>4.4</c:v>
                </c:pt>
                <c:pt idx="30">
                  <c:v>4.4</c:v>
                </c:pt>
                <c:pt idx="31">
                  <c:v>4.4</c:v>
                </c:pt>
                <c:pt idx="32">
                  <c:v>4.4</c:v>
                </c:pt>
                <c:pt idx="33">
                  <c:v>4.4</c:v>
                </c:pt>
                <c:pt idx="34">
                  <c:v>4.4</c:v>
                </c:pt>
                <c:pt idx="35">
                  <c:v>4.4</c:v>
                </c:pt>
                <c:pt idx="36">
                  <c:v>4.3</c:v>
                </c:pt>
                <c:pt idx="37">
                  <c:v>4.3</c:v>
                </c:pt>
                <c:pt idx="38">
                  <c:v>4.3</c:v>
                </c:pt>
                <c:pt idx="39">
                  <c:v>4.3</c:v>
                </c:pt>
                <c:pt idx="40">
                  <c:v>4.3</c:v>
                </c:pt>
                <c:pt idx="41">
                  <c:v>4.2</c:v>
                </c:pt>
                <c:pt idx="42">
                  <c:v>4.2</c:v>
                </c:pt>
                <c:pt idx="43">
                  <c:v>4.2</c:v>
                </c:pt>
                <c:pt idx="44">
                  <c:v>4.2</c:v>
                </c:pt>
                <c:pt idx="45">
                  <c:v>4</c:v>
                </c:pt>
                <c:pt idx="46">
                  <c:v>4</c:v>
                </c:pt>
                <c:pt idx="47">
                  <c:v>4</c:v>
                </c:pt>
                <c:pt idx="48">
                  <c:v>4</c:v>
                </c:pt>
                <c:pt idx="49">
                  <c:v>4</c:v>
                </c:pt>
                <c:pt idx="50">
                  <c:v>3.9</c:v>
                </c:pt>
                <c:pt idx="51">
                  <c:v>3.9</c:v>
                </c:pt>
                <c:pt idx="52">
                  <c:v>3.9</c:v>
                </c:pt>
                <c:pt idx="53">
                  <c:v>3.9</c:v>
                </c:pt>
                <c:pt idx="54">
                  <c:v>3.8</c:v>
                </c:pt>
                <c:pt idx="55">
                  <c:v>3.8</c:v>
                </c:pt>
                <c:pt idx="56">
                  <c:v>3.8</c:v>
                </c:pt>
                <c:pt idx="57">
                  <c:v>3.8</c:v>
                </c:pt>
                <c:pt idx="58">
                  <c:v>3.7</c:v>
                </c:pt>
                <c:pt idx="59">
                  <c:v>3.7</c:v>
                </c:pt>
                <c:pt idx="60">
                  <c:v>3.7</c:v>
                </c:pt>
                <c:pt idx="61">
                  <c:v>3.7</c:v>
                </c:pt>
                <c:pt idx="62">
                  <c:v>3.7</c:v>
                </c:pt>
                <c:pt idx="63">
                  <c:v>3.7</c:v>
                </c:pt>
                <c:pt idx="64">
                  <c:v>3.7</c:v>
                </c:pt>
                <c:pt idx="65">
                  <c:v>3.7</c:v>
                </c:pt>
                <c:pt idx="66">
                  <c:v>3.7</c:v>
                </c:pt>
                <c:pt idx="67">
                  <c:v>3.6</c:v>
                </c:pt>
                <c:pt idx="68">
                  <c:v>3.6</c:v>
                </c:pt>
                <c:pt idx="69">
                  <c:v>3.6</c:v>
                </c:pt>
                <c:pt idx="70">
                  <c:v>3.6</c:v>
                </c:pt>
                <c:pt idx="71">
                  <c:v>3.6</c:v>
                </c:pt>
                <c:pt idx="72">
                  <c:v>3.6</c:v>
                </c:pt>
                <c:pt idx="73">
                  <c:v>3.6</c:v>
                </c:pt>
                <c:pt idx="74">
                  <c:v>3.6</c:v>
                </c:pt>
                <c:pt idx="75">
                  <c:v>3.6</c:v>
                </c:pt>
                <c:pt idx="76">
                  <c:v>3.6</c:v>
                </c:pt>
                <c:pt idx="77">
                  <c:v>3.6</c:v>
                </c:pt>
                <c:pt idx="78">
                  <c:v>3.6</c:v>
                </c:pt>
                <c:pt idx="79">
                  <c:v>3.5</c:v>
                </c:pt>
                <c:pt idx="80">
                  <c:v>3.5</c:v>
                </c:pt>
                <c:pt idx="81">
                  <c:v>3.5</c:v>
                </c:pt>
                <c:pt idx="82">
                  <c:v>3.4</c:v>
                </c:pt>
                <c:pt idx="83">
                  <c:v>3.4</c:v>
                </c:pt>
                <c:pt idx="84">
                  <c:v>3.4</c:v>
                </c:pt>
                <c:pt idx="85">
                  <c:v>3.4</c:v>
                </c:pt>
                <c:pt idx="86">
                  <c:v>3.4</c:v>
                </c:pt>
                <c:pt idx="87">
                  <c:v>3.4</c:v>
                </c:pt>
                <c:pt idx="88">
                  <c:v>3.4</c:v>
                </c:pt>
                <c:pt idx="89">
                  <c:v>3.4</c:v>
                </c:pt>
                <c:pt idx="90">
                  <c:v>3.4</c:v>
                </c:pt>
                <c:pt idx="91">
                  <c:v>3.4</c:v>
                </c:pt>
                <c:pt idx="92">
                  <c:v>3.4</c:v>
                </c:pt>
                <c:pt idx="93">
                  <c:v>3.4</c:v>
                </c:pt>
                <c:pt idx="94">
                  <c:v>3.4</c:v>
                </c:pt>
                <c:pt idx="95">
                  <c:v>3.4</c:v>
                </c:pt>
                <c:pt idx="96">
                  <c:v>3.4</c:v>
                </c:pt>
                <c:pt idx="97">
                  <c:v>3.4</c:v>
                </c:pt>
                <c:pt idx="98">
                  <c:v>3.4</c:v>
                </c:pt>
                <c:pt idx="99">
                  <c:v>3.3</c:v>
                </c:pt>
                <c:pt idx="100">
                  <c:v>3.3</c:v>
                </c:pt>
                <c:pt idx="101">
                  <c:v>3.3</c:v>
                </c:pt>
                <c:pt idx="102">
                  <c:v>3.1</c:v>
                </c:pt>
                <c:pt idx="103">
                  <c:v>3.1</c:v>
                </c:pt>
                <c:pt idx="104">
                  <c:v>3.1</c:v>
                </c:pt>
                <c:pt idx="105">
                  <c:v>3.1</c:v>
                </c:pt>
                <c:pt idx="106">
                  <c:v>3.1</c:v>
                </c:pt>
                <c:pt idx="107">
                  <c:v>3.1</c:v>
                </c:pt>
                <c:pt idx="108">
                  <c:v>3.1</c:v>
                </c:pt>
                <c:pt idx="109">
                  <c:v>3.1</c:v>
                </c:pt>
                <c:pt idx="110">
                  <c:v>3</c:v>
                </c:pt>
                <c:pt idx="111">
                  <c:v>3</c:v>
                </c:pt>
                <c:pt idx="112">
                  <c:v>3</c:v>
                </c:pt>
                <c:pt idx="113">
                  <c:v>3</c:v>
                </c:pt>
                <c:pt idx="114">
                  <c:v>3</c:v>
                </c:pt>
                <c:pt idx="115">
                  <c:v>3</c:v>
                </c:pt>
                <c:pt idx="116">
                  <c:v>3</c:v>
                </c:pt>
                <c:pt idx="117">
                  <c:v>3</c:v>
                </c:pt>
                <c:pt idx="118">
                  <c:v>3</c:v>
                </c:pt>
                <c:pt idx="119">
                  <c:v>3</c:v>
                </c:pt>
                <c:pt idx="120">
                  <c:v>2.9</c:v>
                </c:pt>
                <c:pt idx="121">
                  <c:v>2.9</c:v>
                </c:pt>
                <c:pt idx="122">
                  <c:v>2.9</c:v>
                </c:pt>
                <c:pt idx="123">
                  <c:v>2.8</c:v>
                </c:pt>
                <c:pt idx="124">
                  <c:v>2.8</c:v>
                </c:pt>
                <c:pt idx="125">
                  <c:v>2.7</c:v>
                </c:pt>
                <c:pt idx="126">
                  <c:v>2.6</c:v>
                </c:pt>
                <c:pt idx="127">
                  <c:v>2.6</c:v>
                </c:pt>
                <c:pt idx="128">
                  <c:v>2.6</c:v>
                </c:pt>
                <c:pt idx="129">
                  <c:v>2.5</c:v>
                </c:pt>
                <c:pt idx="130">
                  <c:v>2.5</c:v>
                </c:pt>
                <c:pt idx="131">
                  <c:v>2.5</c:v>
                </c:pt>
                <c:pt idx="132">
                  <c:v>2.4</c:v>
                </c:pt>
                <c:pt idx="133">
                  <c:v>2.4</c:v>
                </c:pt>
                <c:pt idx="134">
                  <c:v>2.4</c:v>
                </c:pt>
                <c:pt idx="135">
                  <c:v>2.3</c:v>
                </c:pt>
                <c:pt idx="136">
                  <c:v>2.2</c:v>
                </c:pt>
                <c:pt idx="137">
                  <c:v>1.8</c:v>
                </c:pt>
                <c:pt idx="138">
                  <c:v>1.8</c:v>
                </c:pt>
                <c:pt idx="139">
                  <c:v>1.8</c:v>
                </c:pt>
                <c:pt idx="140">
                  <c:v>1.8</c:v>
                </c:pt>
                <c:pt idx="141">
                  <c:v>1.8</c:v>
                </c:pt>
                <c:pt idx="142">
                  <c:v>1.7</c:v>
                </c:pt>
                <c:pt idx="143">
                  <c:v>1.7</c:v>
                </c:pt>
                <c:pt idx="144">
                  <c:v>1.6</c:v>
                </c:pt>
                <c:pt idx="145">
                  <c:v>1.5</c:v>
                </c:pt>
                <c:pt idx="146">
                  <c:v>1.3</c:v>
                </c:pt>
                <c:pt idx="147">
                  <c:v>1.1</c:v>
                </c:pt>
                <c:pt idx="148">
                  <c:v>1.1</c:v>
                </c:pt>
                <c:pt idx="149">
                  <c:v>1</c:v>
                </c:pt>
              </c:numCache>
            </c:numRef>
          </c:val>
          <c:smooth val="0"/>
        </c:ser>
        <c:ser>
          <c:idx val="3"/>
          <c:order val="3"/>
          <c:tx>
            <c:strRef>
              <c:f>Sheet2!$D$1:$D$2</c:f>
              <c:strCache>
                <c:ptCount val="1"/>
                <c:pt idx="0">
                  <c:v>MeanIO IOX</c:v>
                </c:pt>
              </c:strCache>
            </c:strRef>
          </c:tx>
          <c:dLbls>
            <c:delete val="1"/>
          </c:dLbls>
          <c:trendline>
            <c:spPr>
              <a:ln w="19050" cap="rnd" cmpd="sng" algn="ctr">
                <a:solidFill>
                  <a:schemeClr val="tx1"/>
                </a:solidFill>
                <a:prstDash val="solid"/>
                <a:round/>
              </a:ln>
              <a:effectLst>
                <a:outerShdw blurRad="50800" dist="50800" dir="5400000" sx="5000" sy="5000" algn="ctr" rotWithShape="0">
                  <a:srgbClr val="000000">
                    <a:alpha val="43137"/>
                  </a:srgbClr>
                </a:outerShdw>
              </a:effectLst>
            </c:spPr>
            <c:trendlineType val="linear"/>
            <c:dispRSqr val="1"/>
            <c:dispEq val="1"/>
            <c:trendlineLbl>
              <c:layout/>
              <c:numFmt formatCode="General" sourceLinked="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trendlineLbl>
          </c:trendline>
          <c:val>
            <c:numRef>
              <c:f>Sheet2!$D$3:$D$152</c:f>
              <c:numCache>
                <c:formatCode>General</c:formatCode>
                <c:ptCount val="150"/>
                <c:pt idx="0">
                  <c:v>5</c:v>
                </c:pt>
                <c:pt idx="1">
                  <c:v>4.9</c:v>
                </c:pt>
                <c:pt idx="2">
                  <c:v>4.9</c:v>
                </c:pt>
                <c:pt idx="3">
                  <c:v>4.7</c:v>
                </c:pt>
                <c:pt idx="4">
                  <c:v>4.7</c:v>
                </c:pt>
                <c:pt idx="5">
                  <c:v>4.7</c:v>
                </c:pt>
                <c:pt idx="6">
                  <c:v>4.7</c:v>
                </c:pt>
                <c:pt idx="7">
                  <c:v>4.7</c:v>
                </c:pt>
                <c:pt idx="8">
                  <c:v>4.7</c:v>
                </c:pt>
                <c:pt idx="9">
                  <c:v>4.7</c:v>
                </c:pt>
                <c:pt idx="10">
                  <c:v>4.6</c:v>
                </c:pt>
                <c:pt idx="11">
                  <c:v>4.6</c:v>
                </c:pt>
                <c:pt idx="12">
                  <c:v>4.6</c:v>
                </c:pt>
                <c:pt idx="13">
                  <c:v>4.6</c:v>
                </c:pt>
                <c:pt idx="14">
                  <c:v>4.6</c:v>
                </c:pt>
                <c:pt idx="15">
                  <c:v>4.6</c:v>
                </c:pt>
                <c:pt idx="16">
                  <c:v>4.6</c:v>
                </c:pt>
                <c:pt idx="17">
                  <c:v>4.6</c:v>
                </c:pt>
                <c:pt idx="18">
                  <c:v>4.6</c:v>
                </c:pt>
                <c:pt idx="19">
                  <c:v>4.6</c:v>
                </c:pt>
                <c:pt idx="20">
                  <c:v>4.6</c:v>
                </c:pt>
                <c:pt idx="21">
                  <c:v>4.6</c:v>
                </c:pt>
                <c:pt idx="22">
                  <c:v>4.6</c:v>
                </c:pt>
                <c:pt idx="23">
                  <c:v>4.6</c:v>
                </c:pt>
                <c:pt idx="24">
                  <c:v>4.6</c:v>
                </c:pt>
                <c:pt idx="25">
                  <c:v>4.6</c:v>
                </c:pt>
                <c:pt idx="26">
                  <c:v>4.6</c:v>
                </c:pt>
                <c:pt idx="27">
                  <c:v>4.6</c:v>
                </c:pt>
                <c:pt idx="28">
                  <c:v>4.6</c:v>
                </c:pt>
                <c:pt idx="29">
                  <c:v>4.5</c:v>
                </c:pt>
                <c:pt idx="30">
                  <c:v>4.5</c:v>
                </c:pt>
                <c:pt idx="31">
                  <c:v>4.5</c:v>
                </c:pt>
                <c:pt idx="32">
                  <c:v>4.5</c:v>
                </c:pt>
                <c:pt idx="33">
                  <c:v>4.4</c:v>
                </c:pt>
                <c:pt idx="34">
                  <c:v>4.4</c:v>
                </c:pt>
                <c:pt idx="35">
                  <c:v>4.3</c:v>
                </c:pt>
                <c:pt idx="36">
                  <c:v>4.3</c:v>
                </c:pt>
                <c:pt idx="37">
                  <c:v>4.3</c:v>
                </c:pt>
                <c:pt idx="38">
                  <c:v>4.3</c:v>
                </c:pt>
                <c:pt idx="39">
                  <c:v>4.3</c:v>
                </c:pt>
                <c:pt idx="40">
                  <c:v>4.3</c:v>
                </c:pt>
                <c:pt idx="41">
                  <c:v>4.3</c:v>
                </c:pt>
                <c:pt idx="42">
                  <c:v>4.3</c:v>
                </c:pt>
                <c:pt idx="43">
                  <c:v>4.3</c:v>
                </c:pt>
                <c:pt idx="44">
                  <c:v>4.3</c:v>
                </c:pt>
                <c:pt idx="45">
                  <c:v>4.2</c:v>
                </c:pt>
                <c:pt idx="46">
                  <c:v>4.2</c:v>
                </c:pt>
                <c:pt idx="47">
                  <c:v>4.2</c:v>
                </c:pt>
                <c:pt idx="48">
                  <c:v>4.1</c:v>
                </c:pt>
                <c:pt idx="49">
                  <c:v>4.1</c:v>
                </c:pt>
                <c:pt idx="50">
                  <c:v>4.1</c:v>
                </c:pt>
                <c:pt idx="51">
                  <c:v>4.1</c:v>
                </c:pt>
                <c:pt idx="52">
                  <c:v>4.1</c:v>
                </c:pt>
                <c:pt idx="53">
                  <c:v>4.1</c:v>
                </c:pt>
                <c:pt idx="54">
                  <c:v>4.1</c:v>
                </c:pt>
                <c:pt idx="55">
                  <c:v>4</c:v>
                </c:pt>
                <c:pt idx="56">
                  <c:v>4</c:v>
                </c:pt>
                <c:pt idx="57">
                  <c:v>4</c:v>
                </c:pt>
                <c:pt idx="58">
                  <c:v>4</c:v>
                </c:pt>
                <c:pt idx="59">
                  <c:v>4</c:v>
                </c:pt>
                <c:pt idx="60">
                  <c:v>4</c:v>
                </c:pt>
                <c:pt idx="61">
                  <c:v>4</c:v>
                </c:pt>
                <c:pt idx="62">
                  <c:v>4</c:v>
                </c:pt>
                <c:pt idx="63">
                  <c:v>3.9</c:v>
                </c:pt>
                <c:pt idx="64">
                  <c:v>3.8</c:v>
                </c:pt>
                <c:pt idx="65">
                  <c:v>3.8</c:v>
                </c:pt>
                <c:pt idx="66">
                  <c:v>3.8</c:v>
                </c:pt>
                <c:pt idx="67">
                  <c:v>3.7</c:v>
                </c:pt>
                <c:pt idx="68">
                  <c:v>3.7</c:v>
                </c:pt>
                <c:pt idx="69">
                  <c:v>3.7</c:v>
                </c:pt>
                <c:pt idx="70">
                  <c:v>3.7</c:v>
                </c:pt>
                <c:pt idx="71">
                  <c:v>3.6</c:v>
                </c:pt>
                <c:pt idx="72">
                  <c:v>3.6</c:v>
                </c:pt>
                <c:pt idx="73">
                  <c:v>3.6</c:v>
                </c:pt>
                <c:pt idx="74">
                  <c:v>3.6</c:v>
                </c:pt>
                <c:pt idx="75">
                  <c:v>3.6</c:v>
                </c:pt>
                <c:pt idx="76">
                  <c:v>3.6</c:v>
                </c:pt>
                <c:pt idx="77">
                  <c:v>3.6</c:v>
                </c:pt>
                <c:pt idx="78">
                  <c:v>3.6</c:v>
                </c:pt>
                <c:pt idx="79">
                  <c:v>3.6</c:v>
                </c:pt>
                <c:pt idx="80">
                  <c:v>3.5</c:v>
                </c:pt>
                <c:pt idx="81">
                  <c:v>3.5</c:v>
                </c:pt>
                <c:pt idx="82">
                  <c:v>3.5</c:v>
                </c:pt>
                <c:pt idx="83">
                  <c:v>3.5</c:v>
                </c:pt>
                <c:pt idx="84">
                  <c:v>3.4</c:v>
                </c:pt>
                <c:pt idx="85">
                  <c:v>3.4</c:v>
                </c:pt>
                <c:pt idx="86">
                  <c:v>3.4</c:v>
                </c:pt>
                <c:pt idx="87">
                  <c:v>3.3</c:v>
                </c:pt>
                <c:pt idx="88">
                  <c:v>3.3</c:v>
                </c:pt>
                <c:pt idx="89">
                  <c:v>3.3</c:v>
                </c:pt>
                <c:pt idx="90">
                  <c:v>3.3</c:v>
                </c:pt>
                <c:pt idx="91">
                  <c:v>3.3</c:v>
                </c:pt>
                <c:pt idx="92">
                  <c:v>3.3</c:v>
                </c:pt>
                <c:pt idx="93">
                  <c:v>3.3</c:v>
                </c:pt>
                <c:pt idx="94">
                  <c:v>3.3</c:v>
                </c:pt>
                <c:pt idx="95">
                  <c:v>3.3</c:v>
                </c:pt>
                <c:pt idx="96">
                  <c:v>3.3</c:v>
                </c:pt>
                <c:pt idx="97">
                  <c:v>3.3</c:v>
                </c:pt>
                <c:pt idx="98">
                  <c:v>3.3</c:v>
                </c:pt>
                <c:pt idx="99">
                  <c:v>3</c:v>
                </c:pt>
                <c:pt idx="100">
                  <c:v>3</c:v>
                </c:pt>
                <c:pt idx="101">
                  <c:v>3</c:v>
                </c:pt>
                <c:pt idx="102">
                  <c:v>3</c:v>
                </c:pt>
                <c:pt idx="103">
                  <c:v>3</c:v>
                </c:pt>
                <c:pt idx="104">
                  <c:v>3</c:v>
                </c:pt>
                <c:pt idx="105">
                  <c:v>3</c:v>
                </c:pt>
                <c:pt idx="106">
                  <c:v>3</c:v>
                </c:pt>
                <c:pt idx="107">
                  <c:v>3</c:v>
                </c:pt>
                <c:pt idx="108">
                  <c:v>2.9</c:v>
                </c:pt>
                <c:pt idx="109">
                  <c:v>2.9</c:v>
                </c:pt>
                <c:pt idx="110">
                  <c:v>2.9</c:v>
                </c:pt>
                <c:pt idx="111">
                  <c:v>2.9</c:v>
                </c:pt>
                <c:pt idx="112">
                  <c:v>2.9</c:v>
                </c:pt>
                <c:pt idx="113">
                  <c:v>2.8</c:v>
                </c:pt>
                <c:pt idx="114">
                  <c:v>2.8</c:v>
                </c:pt>
                <c:pt idx="115">
                  <c:v>2.7</c:v>
                </c:pt>
                <c:pt idx="116">
                  <c:v>2.5</c:v>
                </c:pt>
                <c:pt idx="117">
                  <c:v>2.5</c:v>
                </c:pt>
                <c:pt idx="118">
                  <c:v>2.5</c:v>
                </c:pt>
                <c:pt idx="119">
                  <c:v>2.5</c:v>
                </c:pt>
                <c:pt idx="120">
                  <c:v>2.5</c:v>
                </c:pt>
                <c:pt idx="121">
                  <c:v>2.4</c:v>
                </c:pt>
                <c:pt idx="122">
                  <c:v>2.4</c:v>
                </c:pt>
                <c:pt idx="123">
                  <c:v>2.4</c:v>
                </c:pt>
                <c:pt idx="124">
                  <c:v>2.4</c:v>
                </c:pt>
                <c:pt idx="125">
                  <c:v>2.4</c:v>
                </c:pt>
                <c:pt idx="126">
                  <c:v>2.4</c:v>
                </c:pt>
                <c:pt idx="127">
                  <c:v>2.4</c:v>
                </c:pt>
                <c:pt idx="128">
                  <c:v>2.3</c:v>
                </c:pt>
                <c:pt idx="129">
                  <c:v>2.3</c:v>
                </c:pt>
                <c:pt idx="130">
                  <c:v>2.2</c:v>
                </c:pt>
                <c:pt idx="131">
                  <c:v>2.1</c:v>
                </c:pt>
                <c:pt idx="132">
                  <c:v>2.1</c:v>
                </c:pt>
                <c:pt idx="133">
                  <c:v>2.1</c:v>
                </c:pt>
                <c:pt idx="134">
                  <c:v>2.1</c:v>
                </c:pt>
                <c:pt idx="135">
                  <c:v>2.1</c:v>
                </c:pt>
                <c:pt idx="136">
                  <c:v>1.9</c:v>
                </c:pt>
                <c:pt idx="137">
                  <c:v>1.8</c:v>
                </c:pt>
                <c:pt idx="138">
                  <c:v>1.8</c:v>
                </c:pt>
                <c:pt idx="139">
                  <c:v>1.7</c:v>
                </c:pt>
                <c:pt idx="140">
                  <c:v>1.7</c:v>
                </c:pt>
                <c:pt idx="141">
                  <c:v>1.6</c:v>
                </c:pt>
                <c:pt idx="142">
                  <c:v>1.5</c:v>
                </c:pt>
                <c:pt idx="143">
                  <c:v>1.5</c:v>
                </c:pt>
                <c:pt idx="144">
                  <c:v>1.3</c:v>
                </c:pt>
                <c:pt idx="145">
                  <c:v>1.1</c:v>
                </c:pt>
                <c:pt idx="146">
                  <c:v>1</c:v>
                </c:pt>
                <c:pt idx="147">
                  <c:v>1</c:v>
                </c:pt>
                <c:pt idx="148">
                  <c:v>1</c:v>
                </c:pt>
                <c:pt idx="149">
                  <c:v>1</c:v>
                </c:pt>
              </c:numCache>
            </c:numRef>
          </c:val>
          <c:smooth val="0"/>
        </c:ser>
        <c:dLbls>
          <c:showLegendKey val="0"/>
          <c:showVal val="0"/>
          <c:showCatName val="0"/>
          <c:showSerName val="0"/>
          <c:showPercent val="0"/>
          <c:showBubbleSize val="0"/>
        </c:dLbls>
        <c:marker val="1"/>
        <c:smooth val="0"/>
        <c:axId val="737515776"/>
        <c:axId val="737517568"/>
      </c:lineChart>
      <c:catAx>
        <c:axId val="737515776"/>
        <c:scaling>
          <c:orientation val="minMax"/>
        </c:scaling>
        <c:delete val="0"/>
        <c:axPos val="b"/>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737517568"/>
        <c:crosses val="autoZero"/>
        <c:auto val="1"/>
        <c:lblAlgn val="ctr"/>
        <c:lblOffset val="100"/>
        <c:noMultiLvlLbl val="0"/>
      </c:catAx>
      <c:valAx>
        <c:axId val="73751756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737515776"/>
        <c:crosses val="autoZero"/>
        <c:crossBetween val="between"/>
      </c:valAx>
    </c:plotArea>
    <c:legend>
      <c:legendPos val="r"/>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fb343c5a-49b1-4a89-8c54-b777e6ff1046}"/>
      </c:ext>
    </c:extLst>
  </c:chart>
  <c:txPr>
    <a:bodyPr/>
    <a:lstStyle/>
    <a:p>
      <a:pPr>
        <a:defRPr lang="en-US"/>
      </a:pPr>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A642C8E8-0591-45CE-AAA4-C0D5B48BA709}" type="doc">
      <dgm:prSet loTypeId="urn:microsoft.com/office/officeart/2005/8/layout/hProcess4" loCatId="process" qsTypeId="urn:microsoft.com/office/officeart/2005/8/quickstyle/simple1" qsCatId="simple" csTypeId="urn:microsoft.com/office/officeart/2005/8/colors/accent1_2" csCatId="accent1" phldr="1"/>
      <dgm:spPr/>
      <dgm:t>
        <a:bodyPr/>
        <a:p>
          <a:endParaRPr lang="en-US"/>
        </a:p>
      </dgm:t>
    </dgm:pt>
    <dgm:pt modelId="{34565255-744B-49BB-A166-1F8B08ECDEF0}">
      <dgm:prSet phldrT="[Text]"/>
      <dgm:spPr/>
      <dgm:t>
        <a:bodyPr/>
        <a:p>
          <a:r>
            <a:rPr lang="en-US"/>
            <a:t>INPUTS</a:t>
          </a:r>
        </a:p>
      </dgm:t>
    </dgm:pt>
    <dgm:pt modelId="{6AB8C390-C4F2-42CC-A5A5-65CF71009DCE}" cxnId="{59720A99-64CE-4D85-8996-A00758D17B8D}" type="parTrans">
      <dgm:prSet/>
      <dgm:spPr/>
      <dgm:t>
        <a:bodyPr/>
        <a:p>
          <a:endParaRPr lang="en-US"/>
        </a:p>
      </dgm:t>
    </dgm:pt>
    <dgm:pt modelId="{DB5E4423-B093-4189-8A6A-3956648395DF}" cxnId="{59720A99-64CE-4D85-8996-A00758D17B8D}" type="sibTrans">
      <dgm:prSet/>
      <dgm:spPr/>
      <dgm:t>
        <a:bodyPr/>
        <a:p>
          <a:endParaRPr lang="en-US"/>
        </a:p>
      </dgm:t>
    </dgm:pt>
    <dgm:pt modelId="{E10F8263-70A1-4CAF-9494-B6B839FB1322}">
      <dgm:prSet phldrT="[Text]"/>
      <dgm:spPr/>
      <dgm:t>
        <a:bodyPr/>
        <a:p>
          <a:r>
            <a:rPr lang="en-US" b="1"/>
            <a:t>Educator Competencies</a:t>
          </a:r>
          <a:r>
            <a:rPr lang="en-US"/>
            <a:t/>
          </a:r>
          <a:br>
            <a:rPr lang="en-US"/>
          </a:br>
          <a:r>
            <a:rPr lang="en-US"/>
            <a:t>▸ Digital literacy</a:t>
          </a:r>
          <a:br>
            <a:rPr lang="en-US"/>
          </a:br>
          <a:r>
            <a:rPr lang="en-US"/>
            <a:t>▸ Pedagogical skills</a:t>
          </a:r>
          <a:br>
            <a:rPr lang="en-US"/>
          </a:br>
          <a:r>
            <a:rPr lang="en-US"/>
            <a:t>▸ Interdisciplinary knowledge</a:t>
          </a:r>
        </a:p>
      </dgm:t>
    </dgm:pt>
    <dgm:pt modelId="{3E8A36F8-7E57-4615-ADF6-F74E4267CC47}" cxnId="{24379D4E-CED6-4805-82F3-7987ABC49A16}" type="parTrans">
      <dgm:prSet/>
      <dgm:spPr/>
      <dgm:t>
        <a:bodyPr/>
        <a:p>
          <a:endParaRPr lang="en-US"/>
        </a:p>
      </dgm:t>
    </dgm:pt>
    <dgm:pt modelId="{7A68ECC3-4DCC-4EA8-B711-E98AC00BC9EE}" cxnId="{24379D4E-CED6-4805-82F3-7987ABC49A16}" type="sibTrans">
      <dgm:prSet/>
      <dgm:spPr/>
      <dgm:t>
        <a:bodyPr/>
        <a:p>
          <a:endParaRPr lang="en-US"/>
        </a:p>
      </dgm:t>
    </dgm:pt>
    <dgm:pt modelId="{8C180FA2-620A-4F19-8D8F-ABBF8D30E147}">
      <dgm:prSet phldrT="[Text]"/>
      <dgm:spPr/>
      <dgm:t>
        <a:bodyPr/>
        <a:p>
          <a:r>
            <a:rPr lang="en-US" b="1"/>
            <a:t>Institutional Factors</a:t>
          </a:r>
          <a:r>
            <a:rPr lang="en-US"/>
            <a:t/>
          </a:r>
          <a:br>
            <a:rPr lang="en-US"/>
          </a:br>
          <a:r>
            <a:rPr lang="en-US"/>
            <a:t>▸ Curriculum alignment</a:t>
          </a:r>
          <a:br>
            <a:rPr lang="en-US"/>
          </a:br>
          <a:r>
            <a:rPr lang="en-US"/>
            <a:t>▸ Infrastructure</a:t>
          </a:r>
          <a:br>
            <a:rPr lang="en-US"/>
          </a:br>
          <a:r>
            <a:rPr lang="en-US" b="1"/>
            <a:t>External Factors</a:t>
          </a:r>
          <a:r>
            <a:rPr lang="en-US"/>
            <a:t/>
          </a:r>
          <a:br>
            <a:rPr lang="en-US"/>
          </a:br>
          <a:r>
            <a:rPr lang="en-US"/>
            <a:t>▸ Industry collaboration</a:t>
          </a:r>
          <a:br>
            <a:rPr lang="en-US"/>
          </a:br>
          <a:r>
            <a:rPr lang="en-US"/>
            <a:t>▸ Professional development access</a:t>
          </a:r>
          <a:br>
            <a:rPr lang="en-US"/>
          </a:br>
          <a:r>
            <a:rPr lang="en-US"/>
            <a:t>▸ Funding and policy backing▸ Administrative support</a:t>
          </a:r>
        </a:p>
      </dgm:t>
    </dgm:pt>
    <dgm:pt modelId="{04E7FBBF-D6C4-4FEF-A879-07CDDC9EBB53}" cxnId="{044A1FAC-E11E-49F4-A354-820858DDD302}" type="parTrans">
      <dgm:prSet/>
      <dgm:spPr/>
      <dgm:t>
        <a:bodyPr/>
        <a:p>
          <a:endParaRPr lang="en-US"/>
        </a:p>
      </dgm:t>
    </dgm:pt>
    <dgm:pt modelId="{6C4046E4-B417-4A09-855E-8B277659B5D0}" cxnId="{044A1FAC-E11E-49F4-A354-820858DDD302}" type="sibTrans">
      <dgm:prSet/>
      <dgm:spPr/>
      <dgm:t>
        <a:bodyPr/>
        <a:p>
          <a:endParaRPr lang="en-US"/>
        </a:p>
      </dgm:t>
    </dgm:pt>
    <dgm:pt modelId="{8652C19C-74F4-4AA2-A800-23F71C615936}">
      <dgm:prSet phldrT="[Text]"/>
      <dgm:spPr/>
      <dgm:t>
        <a:bodyPr/>
        <a:p>
          <a:r>
            <a:rPr lang="en-US"/>
            <a:t>PROCESS</a:t>
          </a:r>
        </a:p>
      </dgm:t>
    </dgm:pt>
    <dgm:pt modelId="{990E8AE0-9801-40A2-B243-6B7238C55155}" cxnId="{75EB8D73-C07F-4E28-9BBA-C7DE756287F8}" type="parTrans">
      <dgm:prSet/>
      <dgm:spPr/>
      <dgm:t>
        <a:bodyPr/>
        <a:p>
          <a:endParaRPr lang="en-US"/>
        </a:p>
      </dgm:t>
    </dgm:pt>
    <dgm:pt modelId="{C31E55D7-32D4-4267-9B7C-6BAC537CDCAA}" cxnId="{75EB8D73-C07F-4E28-9BBA-C7DE756287F8}" type="sibTrans">
      <dgm:prSet/>
      <dgm:spPr/>
      <dgm:t>
        <a:bodyPr/>
        <a:p>
          <a:endParaRPr lang="en-US"/>
        </a:p>
      </dgm:t>
    </dgm:pt>
    <dgm:pt modelId="{4FAE5CA7-8FB3-47F8-AF27-A10F4889EE46}">
      <dgm:prSet phldrT="[Text]"/>
      <dgm:spPr/>
      <dgm:t>
        <a:bodyPr/>
        <a:p>
          <a:r>
            <a:rPr lang="en-US"/>
            <a:t>Professional development programs</a:t>
          </a:r>
        </a:p>
      </dgm:t>
    </dgm:pt>
    <dgm:pt modelId="{39480C11-D9FD-4288-AE59-19291048674B}" cxnId="{B474A663-EDE7-4FC7-BB1F-F588E3E8CC93}" type="parTrans">
      <dgm:prSet/>
      <dgm:spPr/>
      <dgm:t>
        <a:bodyPr/>
        <a:p>
          <a:endParaRPr lang="en-US"/>
        </a:p>
      </dgm:t>
    </dgm:pt>
    <dgm:pt modelId="{E4EAE6D9-4348-4A8D-A94E-B2F516D12885}" cxnId="{B474A663-EDE7-4FC7-BB1F-F588E3E8CC93}" type="sibTrans">
      <dgm:prSet/>
      <dgm:spPr/>
      <dgm:t>
        <a:bodyPr/>
        <a:p>
          <a:endParaRPr lang="en-US"/>
        </a:p>
      </dgm:t>
    </dgm:pt>
    <dgm:pt modelId="{DADA9A35-4712-4515-A08C-9776FC877165}">
      <dgm:prSet phldrT="[Text]"/>
      <dgm:spPr/>
      <dgm:t>
        <a:bodyPr/>
        <a:p>
          <a:r>
            <a:rPr lang="en-US"/>
            <a:t>OUTPUTS</a:t>
          </a:r>
        </a:p>
      </dgm:t>
    </dgm:pt>
    <dgm:pt modelId="{5A772DBC-63AF-4D1C-9C69-04E84113A4F9}" cxnId="{08CADDDD-67AB-4E3E-A5D2-E0C574EDC747}" type="parTrans">
      <dgm:prSet/>
      <dgm:spPr/>
      <dgm:t>
        <a:bodyPr/>
        <a:p>
          <a:endParaRPr lang="en-US"/>
        </a:p>
      </dgm:t>
    </dgm:pt>
    <dgm:pt modelId="{E147A6E4-10D7-4150-B9C3-C1A97BBDCE1E}" cxnId="{08CADDDD-67AB-4E3E-A5D2-E0C574EDC747}" type="sibTrans">
      <dgm:prSet/>
      <dgm:spPr/>
      <dgm:t>
        <a:bodyPr/>
        <a:p>
          <a:endParaRPr lang="en-US"/>
        </a:p>
      </dgm:t>
    </dgm:pt>
    <dgm:pt modelId="{BF96DE38-E624-4528-A004-35C533BEEA32}">
      <dgm:prSet phldrT="[Text]"/>
      <dgm:spPr/>
      <dgm:t>
        <a:bodyPr/>
        <a:p>
          <a:r>
            <a:rPr lang="en-US"/>
            <a:t>Improved educator competencies</a:t>
          </a:r>
        </a:p>
      </dgm:t>
    </dgm:pt>
    <dgm:pt modelId="{17C56912-04C3-426A-9CD7-42B83E4B6757}" cxnId="{54D80631-F77A-4AD6-8F60-011BACD78979}" type="parTrans">
      <dgm:prSet/>
      <dgm:spPr/>
      <dgm:t>
        <a:bodyPr/>
        <a:p>
          <a:endParaRPr lang="en-US"/>
        </a:p>
      </dgm:t>
    </dgm:pt>
    <dgm:pt modelId="{081D3527-E48C-421E-A2DD-E1B0A589EAAC}" cxnId="{54D80631-F77A-4AD6-8F60-011BACD78979}" type="sibTrans">
      <dgm:prSet/>
      <dgm:spPr/>
      <dgm:t>
        <a:bodyPr/>
        <a:p>
          <a:endParaRPr lang="en-US"/>
        </a:p>
      </dgm:t>
    </dgm:pt>
    <dgm:pt modelId="{78385690-854A-4EF2-BF5D-80B1C97801A5}">
      <dgm:prSet/>
      <dgm:spPr/>
      <dgm:t>
        <a:bodyPr/>
        <a:p>
          <a:r>
            <a:rPr lang="en-US"/>
            <a:t>OUTCOMES</a:t>
          </a:r>
        </a:p>
      </dgm:t>
    </dgm:pt>
    <dgm:pt modelId="{835BD87E-AB61-4483-9365-DC9CFB3658E7}" cxnId="{C8763DD5-D951-4226-BAD1-226346B68E35}" type="parTrans">
      <dgm:prSet/>
      <dgm:spPr/>
      <dgm:t>
        <a:bodyPr/>
        <a:p>
          <a:endParaRPr lang="en-US"/>
        </a:p>
      </dgm:t>
    </dgm:pt>
    <dgm:pt modelId="{CE40BF10-598F-4C70-868C-F8E07302C022}" cxnId="{C8763DD5-D951-4226-BAD1-226346B68E35}" type="sibTrans">
      <dgm:prSet/>
      <dgm:spPr/>
      <dgm:t>
        <a:bodyPr/>
        <a:p>
          <a:endParaRPr lang="en-US"/>
        </a:p>
      </dgm:t>
    </dgm:pt>
    <dgm:pt modelId="{A285C6A3-2E9D-4AAD-BC5E-D8C4D1CC9E0C}">
      <dgm:prSet phldrT="[Text]"/>
      <dgm:spPr/>
      <dgm:t>
        <a:bodyPr/>
        <a:p>
          <a:endParaRPr lang="en-US"/>
        </a:p>
      </dgm:t>
    </dgm:pt>
    <dgm:pt modelId="{BBE9681C-22EA-4BFB-8A5A-FA1B3DF3D218}" cxnId="{D6334FFF-5918-46BE-BE52-7E13FF37102F}" type="parTrans">
      <dgm:prSet/>
      <dgm:spPr/>
      <dgm:t>
        <a:bodyPr/>
        <a:p>
          <a:endParaRPr lang="en-US"/>
        </a:p>
      </dgm:t>
    </dgm:pt>
    <dgm:pt modelId="{D55DB415-4CC3-4831-B564-66DAE96BCA04}" cxnId="{D6334FFF-5918-46BE-BE52-7E13FF37102F}" type="sibTrans">
      <dgm:prSet/>
      <dgm:spPr/>
      <dgm:t>
        <a:bodyPr/>
        <a:p>
          <a:endParaRPr lang="en-US"/>
        </a:p>
      </dgm:t>
    </dgm:pt>
    <dgm:pt modelId="{599CCF1C-35F0-4D41-A911-F963A3B1EF01}">
      <dgm:prSet phldrT="[Text]"/>
      <dgm:spPr/>
      <dgm:t>
        <a:bodyPr/>
        <a:p>
          <a:endParaRPr lang="en-US"/>
        </a:p>
      </dgm:t>
    </dgm:pt>
    <dgm:pt modelId="{8AA4043A-3003-4F69-A023-D562C825C122}" cxnId="{095240DB-F1EB-4B4C-AC89-DF9F3179B01A}" type="parTrans">
      <dgm:prSet/>
      <dgm:spPr/>
      <dgm:t>
        <a:bodyPr/>
        <a:p>
          <a:endParaRPr lang="en-US"/>
        </a:p>
      </dgm:t>
    </dgm:pt>
    <dgm:pt modelId="{C09620B8-0C32-403E-81E9-601E6E54B76A}" cxnId="{095240DB-F1EB-4B4C-AC89-DF9F3179B01A}" type="sibTrans">
      <dgm:prSet/>
      <dgm:spPr/>
      <dgm:t>
        <a:bodyPr/>
        <a:p>
          <a:endParaRPr lang="en-US"/>
        </a:p>
      </dgm:t>
    </dgm:pt>
    <dgm:pt modelId="{BD9681DD-9D8D-4C05-83F8-B500F3ED711E}">
      <dgm:prSet/>
      <dgm:spPr/>
      <dgm:t>
        <a:bodyPr/>
        <a:p>
          <a:r>
            <a:rPr lang="en-US"/>
            <a:t>Competency-based curriculum redesign</a:t>
          </a:r>
        </a:p>
      </dgm:t>
    </dgm:pt>
    <dgm:pt modelId="{7E393EB6-63D0-4371-85E8-B6360240DF33}" cxnId="{F6F986B1-6AB5-450B-9753-716F52ABB38A}" type="parTrans">
      <dgm:prSet/>
      <dgm:spPr/>
      <dgm:t>
        <a:bodyPr/>
        <a:p>
          <a:endParaRPr lang="en-US"/>
        </a:p>
      </dgm:t>
    </dgm:pt>
    <dgm:pt modelId="{51BA9B9C-758F-440C-9C39-833B525496EC}" cxnId="{F6F986B1-6AB5-450B-9753-716F52ABB38A}" type="sibTrans">
      <dgm:prSet/>
      <dgm:spPr/>
      <dgm:t>
        <a:bodyPr/>
        <a:p>
          <a:endParaRPr lang="en-US"/>
        </a:p>
      </dgm:t>
    </dgm:pt>
    <dgm:pt modelId="{E061EAB1-81AD-4353-A87D-DEF718EC54F3}">
      <dgm:prSet/>
      <dgm:spPr/>
      <dgm:t>
        <a:bodyPr/>
        <a:p>
          <a:r>
            <a:rPr lang="en-US"/>
            <a:t>Hands-on training and industry immersion</a:t>
          </a:r>
        </a:p>
      </dgm:t>
    </dgm:pt>
    <dgm:pt modelId="{66B4B82E-FEFC-44B3-9235-916C9903FF17}" cxnId="{CAD981A9-F812-4F55-9C75-D348B60C29E9}" type="parTrans">
      <dgm:prSet/>
      <dgm:spPr/>
      <dgm:t>
        <a:bodyPr/>
        <a:p>
          <a:endParaRPr lang="en-US"/>
        </a:p>
      </dgm:t>
    </dgm:pt>
    <dgm:pt modelId="{16454932-34AD-4E5D-B0C6-522B2085A5E3}" cxnId="{CAD981A9-F812-4F55-9C75-D348B60C29E9}" type="sibTrans">
      <dgm:prSet/>
      <dgm:spPr/>
      <dgm:t>
        <a:bodyPr/>
        <a:p>
          <a:endParaRPr lang="en-US"/>
        </a:p>
      </dgm:t>
    </dgm:pt>
    <dgm:pt modelId="{55F47C97-0951-4180-89AE-5B1CDF265FEC}">
      <dgm:prSet/>
      <dgm:spPr/>
      <dgm:t>
        <a:bodyPr/>
        <a:p>
          <a:r>
            <a:rPr lang="en-US"/>
            <a:t>Institutional change management strategies</a:t>
          </a:r>
        </a:p>
      </dgm:t>
    </dgm:pt>
    <dgm:pt modelId="{B84DD0EC-4F99-4B20-89F6-BA292807783E}" cxnId="{14633A56-A29A-4951-8E44-1B56949B26C7}" type="parTrans">
      <dgm:prSet/>
      <dgm:spPr/>
      <dgm:t>
        <a:bodyPr/>
        <a:p>
          <a:endParaRPr lang="en-US"/>
        </a:p>
      </dgm:t>
    </dgm:pt>
    <dgm:pt modelId="{357DE4BB-950B-4D8E-9937-39C4EB84CB90}" cxnId="{14633A56-A29A-4951-8E44-1B56949B26C7}" type="sibTrans">
      <dgm:prSet/>
      <dgm:spPr/>
      <dgm:t>
        <a:bodyPr/>
        <a:p>
          <a:endParaRPr lang="en-US"/>
        </a:p>
      </dgm:t>
    </dgm:pt>
    <dgm:pt modelId="{62A8CCC7-9E80-456C-BE14-CDF1E6EF777B}">
      <dgm:prSet/>
      <dgm:spPr/>
      <dgm:t>
        <a:bodyPr/>
        <a:p>
          <a:r>
            <a:rPr lang="en-US"/>
            <a:t>Integration of Industry 4.0 tools into teaching</a:t>
          </a:r>
        </a:p>
      </dgm:t>
    </dgm:pt>
    <dgm:pt modelId="{FCE67EF6-114E-475D-9CCB-5A25E65BC409}" cxnId="{5034E0A1-763B-495B-AB59-E62951C0FCE5}" type="parTrans">
      <dgm:prSet/>
      <dgm:spPr/>
      <dgm:t>
        <a:bodyPr/>
        <a:p>
          <a:endParaRPr lang="en-US"/>
        </a:p>
      </dgm:t>
    </dgm:pt>
    <dgm:pt modelId="{2DA31927-14AB-421E-9368-FAB25C0ECA04}" cxnId="{5034E0A1-763B-495B-AB59-E62951C0FCE5}" type="sibTrans">
      <dgm:prSet/>
      <dgm:spPr/>
      <dgm:t>
        <a:bodyPr/>
        <a:p>
          <a:endParaRPr lang="en-US"/>
        </a:p>
      </dgm:t>
    </dgm:pt>
    <dgm:pt modelId="{9D41FB15-A941-444A-BFDC-E3A53FE7D091}">
      <dgm:prSet/>
      <dgm:spPr/>
      <dgm:t>
        <a:bodyPr/>
        <a:p>
          <a:r>
            <a:rPr lang="en-US"/>
            <a:t>Modernized and relevant curricula</a:t>
          </a:r>
        </a:p>
      </dgm:t>
    </dgm:pt>
    <dgm:pt modelId="{F643E4DA-7322-4DB3-8921-F0DD6F3D3043}" cxnId="{C97A9558-2182-443B-BA45-3172D8248E79}" type="parTrans">
      <dgm:prSet/>
      <dgm:spPr/>
      <dgm:t>
        <a:bodyPr/>
        <a:p>
          <a:endParaRPr lang="en-US"/>
        </a:p>
      </dgm:t>
    </dgm:pt>
    <dgm:pt modelId="{8E9E5439-A486-4EE9-AC70-29FA3A4AD065}" cxnId="{C97A9558-2182-443B-BA45-3172D8248E79}" type="sibTrans">
      <dgm:prSet/>
      <dgm:spPr/>
      <dgm:t>
        <a:bodyPr/>
        <a:p>
          <a:endParaRPr lang="en-US"/>
        </a:p>
      </dgm:t>
    </dgm:pt>
    <dgm:pt modelId="{DC12E043-5A6C-4EF0-9FF6-153937F50AB1}">
      <dgm:prSet/>
      <dgm:spPr/>
      <dgm:t>
        <a:bodyPr/>
        <a:p>
          <a:r>
            <a:rPr lang="en-US"/>
            <a:t>Industry-ready TVET graduates</a:t>
          </a:r>
        </a:p>
      </dgm:t>
    </dgm:pt>
    <dgm:pt modelId="{5E158F3C-A879-41E2-A90F-12E30A09BDF3}" cxnId="{DD344992-0164-4A9D-A3D8-C582B374E833}" type="parTrans">
      <dgm:prSet/>
      <dgm:spPr/>
      <dgm:t>
        <a:bodyPr/>
        <a:p>
          <a:endParaRPr lang="en-US"/>
        </a:p>
      </dgm:t>
    </dgm:pt>
    <dgm:pt modelId="{06EF8B8B-113E-484D-BC4C-C352F836944E}" cxnId="{DD344992-0164-4A9D-A3D8-C582B374E833}" type="sibTrans">
      <dgm:prSet/>
      <dgm:spPr/>
      <dgm:t>
        <a:bodyPr/>
        <a:p>
          <a:endParaRPr lang="en-US"/>
        </a:p>
      </dgm:t>
    </dgm:pt>
    <dgm:pt modelId="{3283B852-1276-4C05-9E6B-DBBF25AB64FF}">
      <dgm:prSet/>
      <dgm:spPr/>
      <dgm:t>
        <a:bodyPr/>
        <a:p>
          <a:r>
            <a:rPr lang="en-US"/>
            <a:t>Higher employability rates</a:t>
          </a:r>
        </a:p>
      </dgm:t>
    </dgm:pt>
    <dgm:pt modelId="{206D2C4D-82EC-4A7B-AAE0-B2C9AD9060B6}" cxnId="{6A5F28F8-F399-4EF2-9E2F-7350DFF59A6D}" type="parTrans">
      <dgm:prSet/>
      <dgm:spPr/>
      <dgm:t>
        <a:bodyPr/>
        <a:p>
          <a:endParaRPr lang="en-US"/>
        </a:p>
      </dgm:t>
    </dgm:pt>
    <dgm:pt modelId="{D9937824-24E4-4BD8-B046-71E419508529}" cxnId="{6A5F28F8-F399-4EF2-9E2F-7350DFF59A6D}" type="sibTrans">
      <dgm:prSet/>
      <dgm:spPr/>
      <dgm:t>
        <a:bodyPr/>
        <a:p>
          <a:endParaRPr lang="en-US"/>
        </a:p>
      </dgm:t>
    </dgm:pt>
    <dgm:pt modelId="{336DDE8B-6530-40F9-8988-F127C3CC0708}">
      <dgm:prSet/>
      <dgm:spPr/>
      <dgm:t>
        <a:bodyPr/>
        <a:p>
          <a:r>
            <a:rPr lang="en-US"/>
            <a:t>Strengthened national workforce competitiveness</a:t>
          </a:r>
        </a:p>
      </dgm:t>
    </dgm:pt>
    <dgm:pt modelId="{9B989008-6D4C-4E68-87C8-4EA18CD84172}" cxnId="{BFD75F93-89AF-458D-AB41-BF7EF0DEF83C}" type="parTrans">
      <dgm:prSet/>
      <dgm:spPr/>
      <dgm:t>
        <a:bodyPr/>
        <a:p>
          <a:endParaRPr lang="en-US"/>
        </a:p>
      </dgm:t>
    </dgm:pt>
    <dgm:pt modelId="{FE2C57E4-08A7-4CE7-94D4-FA39393AD859}" cxnId="{BFD75F93-89AF-458D-AB41-BF7EF0DEF83C}" type="sibTrans">
      <dgm:prSet/>
      <dgm:spPr/>
      <dgm:t>
        <a:bodyPr/>
        <a:p>
          <a:endParaRPr lang="en-US"/>
        </a:p>
      </dgm:t>
    </dgm:pt>
    <dgm:pt modelId="{53B32063-EC0C-44C1-94EA-100D1D0C0B67}">
      <dgm:prSet/>
      <dgm:spPr/>
      <dgm:t>
        <a:bodyPr/>
        <a:p>
          <a:r>
            <a:rPr lang="en-US"/>
            <a:t>FEEDBACK</a:t>
          </a:r>
        </a:p>
      </dgm:t>
    </dgm:pt>
    <dgm:pt modelId="{B34C4438-EBD1-4336-BBDB-9E63213EBA8D}" cxnId="{BEE5522B-247F-4808-B75A-4BC8318AFFF4}" type="parTrans">
      <dgm:prSet/>
      <dgm:spPr/>
      <dgm:t>
        <a:bodyPr/>
        <a:p>
          <a:endParaRPr lang="en-US"/>
        </a:p>
      </dgm:t>
    </dgm:pt>
    <dgm:pt modelId="{3548B826-04CB-4FE8-984A-54CE1E06F733}" cxnId="{BEE5522B-247F-4808-B75A-4BC8318AFFF4}" type="sibTrans">
      <dgm:prSet/>
      <dgm:spPr/>
      <dgm:t>
        <a:bodyPr/>
        <a:p>
          <a:endParaRPr lang="en-US"/>
        </a:p>
      </dgm:t>
    </dgm:pt>
    <dgm:pt modelId="{EDD93792-574C-45C2-8DFF-A28B7BD28918}" type="pres">
      <dgm:prSet presAssocID="{A642C8E8-0591-45CE-AAA4-C0D5B48BA709}" presName="Name0" presStyleCnt="0">
        <dgm:presLayoutVars>
          <dgm:dir/>
          <dgm:animLvl val="lvl"/>
          <dgm:resizeHandles val="exact"/>
        </dgm:presLayoutVars>
      </dgm:prSet>
      <dgm:spPr/>
      <dgm:t>
        <a:bodyPr/>
        <a:p>
          <a:endParaRPr lang="en-US"/>
        </a:p>
      </dgm:t>
    </dgm:pt>
    <dgm:pt modelId="{8B20599C-7208-4E56-9339-1F02877B2AE6}" type="pres">
      <dgm:prSet presAssocID="{A642C8E8-0591-45CE-AAA4-C0D5B48BA709}" presName="tSp" presStyleCnt="0"/>
      <dgm:spPr/>
    </dgm:pt>
    <dgm:pt modelId="{BEBC6C05-D63C-4ED5-B6ED-72E2571A0019}" type="pres">
      <dgm:prSet presAssocID="{A642C8E8-0591-45CE-AAA4-C0D5B48BA709}" presName="bSp" presStyleCnt="0"/>
      <dgm:spPr/>
    </dgm:pt>
    <dgm:pt modelId="{2B489E41-A03F-43A8-B164-4FB71EFFAE74}" type="pres">
      <dgm:prSet presAssocID="{A642C8E8-0591-45CE-AAA4-C0D5B48BA709}" presName="process" presStyleCnt="0"/>
      <dgm:spPr/>
    </dgm:pt>
    <dgm:pt modelId="{AE64A8AE-782E-4D1A-B2F7-24D9564421EB}" type="pres">
      <dgm:prSet presAssocID="{34565255-744B-49BB-A166-1F8B08ECDEF0}" presName="composite1" presStyleCnt="0"/>
      <dgm:spPr/>
    </dgm:pt>
    <dgm:pt modelId="{539F4329-76EF-49A8-B6F7-901AF034FB2A}" type="pres">
      <dgm:prSet presAssocID="{34565255-744B-49BB-A166-1F8B08ECDEF0}" presName="dummyNode1" presStyleLbl="node1" presStyleIdx="0" presStyleCnt="5"/>
      <dgm:spPr/>
    </dgm:pt>
    <dgm:pt modelId="{E29F2250-3A6E-46B8-8D97-F9C22F244A77}" type="pres">
      <dgm:prSet presAssocID="{34565255-744B-49BB-A166-1F8B08ECDEF0}" presName="childNode1" presStyleLbl="bgAcc1" presStyleIdx="0" presStyleCnt="5" custScaleY="227342" custLinFactNeighborX="-300" custLinFactNeighborY="-48560">
        <dgm:presLayoutVars>
          <dgm:bulletEnabled val="1"/>
        </dgm:presLayoutVars>
      </dgm:prSet>
      <dgm:spPr/>
      <dgm:t>
        <a:bodyPr/>
        <a:p>
          <a:endParaRPr lang="en-US"/>
        </a:p>
      </dgm:t>
    </dgm:pt>
    <dgm:pt modelId="{6F0D2950-18F6-4479-ABA5-B4D261403951}" type="pres">
      <dgm:prSet presAssocID="{34565255-744B-49BB-A166-1F8B08ECDEF0}" presName="childNode1tx" presStyleLbl="bgAcc1" presStyleIdx="0" presStyleCnt="5">
        <dgm:presLayoutVars>
          <dgm:bulletEnabled val="1"/>
        </dgm:presLayoutVars>
      </dgm:prSet>
      <dgm:spPr/>
      <dgm:t>
        <a:bodyPr/>
        <a:p>
          <a:endParaRPr lang="en-US"/>
        </a:p>
      </dgm:t>
    </dgm:pt>
    <dgm:pt modelId="{DA93DA49-644D-4597-B23C-9243DE60C7E6}" type="pres">
      <dgm:prSet presAssocID="{34565255-744B-49BB-A166-1F8B08ECDEF0}" presName="parentNode1" presStyleLbl="node1" presStyleIdx="0" presStyleCnt="5" custLinFactNeighborX="-20571" custLinFactNeighborY="-42524">
        <dgm:presLayoutVars>
          <dgm:chMax val="1"/>
          <dgm:bulletEnabled val="1"/>
        </dgm:presLayoutVars>
      </dgm:prSet>
      <dgm:spPr/>
      <dgm:t>
        <a:bodyPr/>
        <a:p>
          <a:endParaRPr lang="en-US"/>
        </a:p>
      </dgm:t>
    </dgm:pt>
    <dgm:pt modelId="{9F70B134-0B2A-4672-AAA3-7B3D11DA2B49}" type="pres">
      <dgm:prSet presAssocID="{34565255-744B-49BB-A166-1F8B08ECDEF0}" presName="connSite1" presStyleCnt="0"/>
      <dgm:spPr/>
    </dgm:pt>
    <dgm:pt modelId="{7E36F1CE-3E14-44DE-BBBD-7BEFCEAC0179}" type="pres">
      <dgm:prSet presAssocID="{DB5E4423-B093-4189-8A6A-3956648395DF}" presName="Name9" presStyleLbl="sibTrans2D1" presStyleIdx="0" presStyleCnt="4" custLinFactNeighborX="-4817" custLinFactNeighborY="5593"/>
      <dgm:spPr/>
      <dgm:t>
        <a:bodyPr/>
        <a:p>
          <a:endParaRPr lang="en-US"/>
        </a:p>
      </dgm:t>
    </dgm:pt>
    <dgm:pt modelId="{24D4C8A2-9666-4554-8246-638BA10AE163}" type="pres">
      <dgm:prSet presAssocID="{8652C19C-74F4-4AA2-A800-23F71C615936}" presName="composite2" presStyleCnt="0"/>
      <dgm:spPr/>
    </dgm:pt>
    <dgm:pt modelId="{3AA6C359-EFA2-44D8-AEA7-99479BF30CAB}" type="pres">
      <dgm:prSet presAssocID="{8652C19C-74F4-4AA2-A800-23F71C615936}" presName="dummyNode2" presStyleLbl="node1" presStyleIdx="0" presStyleCnt="5"/>
      <dgm:spPr/>
    </dgm:pt>
    <dgm:pt modelId="{E1BD5D8C-328E-4FCF-827A-DD4291542404}" type="pres">
      <dgm:prSet presAssocID="{8652C19C-74F4-4AA2-A800-23F71C615936}" presName="childNode2" presStyleLbl="bgAcc1" presStyleIdx="1" presStyleCnt="5" custScaleY="165286" custLinFactNeighborX="987" custLinFactNeighborY="-33503">
        <dgm:presLayoutVars>
          <dgm:bulletEnabled val="1"/>
        </dgm:presLayoutVars>
      </dgm:prSet>
      <dgm:spPr/>
      <dgm:t>
        <a:bodyPr/>
        <a:p>
          <a:endParaRPr lang="en-US"/>
        </a:p>
      </dgm:t>
    </dgm:pt>
    <dgm:pt modelId="{2DFBAAD8-FB2C-44A1-86BD-78DA90CBBF4A}" type="pres">
      <dgm:prSet presAssocID="{8652C19C-74F4-4AA2-A800-23F71C615936}" presName="childNode2tx" presStyleLbl="bgAcc1" presStyleIdx="1" presStyleCnt="5">
        <dgm:presLayoutVars>
          <dgm:bulletEnabled val="1"/>
        </dgm:presLayoutVars>
      </dgm:prSet>
      <dgm:spPr/>
      <dgm:t>
        <a:bodyPr/>
        <a:p>
          <a:endParaRPr lang="en-US"/>
        </a:p>
      </dgm:t>
    </dgm:pt>
    <dgm:pt modelId="{410AF7CE-A43A-4175-ABD1-D8DCE226514F}" type="pres">
      <dgm:prSet presAssocID="{8652C19C-74F4-4AA2-A800-23F71C615936}" presName="parentNode2" presStyleLbl="node1" presStyleIdx="1" presStyleCnt="5" custScaleY="90909" custLinFactY="-13902" custLinFactNeighborX="-17647" custLinFactNeighborY="-100000">
        <dgm:presLayoutVars>
          <dgm:chMax val="0"/>
          <dgm:bulletEnabled val="1"/>
        </dgm:presLayoutVars>
      </dgm:prSet>
      <dgm:spPr/>
      <dgm:t>
        <a:bodyPr/>
        <a:p>
          <a:endParaRPr lang="en-US"/>
        </a:p>
      </dgm:t>
    </dgm:pt>
    <dgm:pt modelId="{47882EEC-D33A-40C6-B5E2-51E378C8A3D6}" type="pres">
      <dgm:prSet presAssocID="{8652C19C-74F4-4AA2-A800-23F71C615936}" presName="connSite2" presStyleCnt="0"/>
      <dgm:spPr/>
    </dgm:pt>
    <dgm:pt modelId="{A891854A-7A4C-4ADB-9F39-B4CEB0844E76}" type="pres">
      <dgm:prSet presAssocID="{C31E55D7-32D4-4267-9B7C-6BAC537CDCAA}" presName="Name18" presStyleLbl="sibTrans2D1" presStyleIdx="1" presStyleCnt="4" custLinFactNeighborX="32216" custLinFactNeighborY="2891"/>
      <dgm:spPr/>
      <dgm:t>
        <a:bodyPr/>
        <a:p>
          <a:endParaRPr lang="en-US"/>
        </a:p>
      </dgm:t>
    </dgm:pt>
    <dgm:pt modelId="{641E8C29-F001-4272-95BC-51D6D05DD5B3}" type="pres">
      <dgm:prSet presAssocID="{DADA9A35-4712-4515-A08C-9776FC877165}" presName="composite1" presStyleCnt="0"/>
      <dgm:spPr/>
    </dgm:pt>
    <dgm:pt modelId="{3E2D008A-F034-4D1F-9123-FD4C56FC6E39}" type="pres">
      <dgm:prSet presAssocID="{DADA9A35-4712-4515-A08C-9776FC877165}" presName="dummyNode1" presStyleLbl="node1" presStyleIdx="1" presStyleCnt="5"/>
      <dgm:spPr/>
    </dgm:pt>
    <dgm:pt modelId="{61833819-8A37-42DB-88F2-006B7656936A}" type="pres">
      <dgm:prSet presAssocID="{DADA9A35-4712-4515-A08C-9776FC877165}" presName="childNode1" presStyleLbl="bgAcc1" presStyleIdx="2" presStyleCnt="5">
        <dgm:presLayoutVars>
          <dgm:bulletEnabled val="1"/>
        </dgm:presLayoutVars>
      </dgm:prSet>
      <dgm:spPr/>
      <dgm:t>
        <a:bodyPr/>
        <a:p>
          <a:endParaRPr lang="en-US"/>
        </a:p>
      </dgm:t>
    </dgm:pt>
    <dgm:pt modelId="{475A8F58-F405-4352-A7E2-E13AC318A418}" type="pres">
      <dgm:prSet presAssocID="{DADA9A35-4712-4515-A08C-9776FC877165}" presName="childNode1tx" presStyleLbl="bgAcc1" presStyleIdx="2" presStyleCnt="5">
        <dgm:presLayoutVars>
          <dgm:bulletEnabled val="1"/>
        </dgm:presLayoutVars>
      </dgm:prSet>
      <dgm:spPr/>
      <dgm:t>
        <a:bodyPr/>
        <a:p>
          <a:endParaRPr lang="en-US"/>
        </a:p>
      </dgm:t>
    </dgm:pt>
    <dgm:pt modelId="{9E998301-A1A2-4001-A7DF-5F4B8D7F46CB}" type="pres">
      <dgm:prSet presAssocID="{DADA9A35-4712-4515-A08C-9776FC877165}" presName="parentNode1" presStyleLbl="node1" presStyleIdx="2" presStyleCnt="5" custLinFactNeighborX="-16786" custLinFactNeighborY="-37769">
        <dgm:presLayoutVars>
          <dgm:chMax val="1"/>
          <dgm:bulletEnabled val="1"/>
        </dgm:presLayoutVars>
      </dgm:prSet>
      <dgm:spPr/>
      <dgm:t>
        <a:bodyPr/>
        <a:p>
          <a:endParaRPr lang="en-US"/>
        </a:p>
      </dgm:t>
    </dgm:pt>
    <dgm:pt modelId="{09993291-84C0-434C-A79A-9643FBDB704A}" type="pres">
      <dgm:prSet presAssocID="{DADA9A35-4712-4515-A08C-9776FC877165}" presName="connSite1" presStyleCnt="0"/>
      <dgm:spPr/>
    </dgm:pt>
    <dgm:pt modelId="{30469B7E-04E9-459E-AEA1-1FE9DE35CB56}" type="pres">
      <dgm:prSet presAssocID="{E147A6E4-10D7-4150-B9C3-C1A97BBDCE1E}" presName="Name9" presStyleLbl="sibTrans2D1" presStyleIdx="2" presStyleCnt="4"/>
      <dgm:spPr/>
      <dgm:t>
        <a:bodyPr/>
        <a:p>
          <a:endParaRPr lang="en-US"/>
        </a:p>
      </dgm:t>
    </dgm:pt>
    <dgm:pt modelId="{357AADDB-70F2-4F00-B438-FB4D384BD9AB}" type="pres">
      <dgm:prSet presAssocID="{78385690-854A-4EF2-BF5D-80B1C97801A5}" presName="composite2" presStyleCnt="0"/>
      <dgm:spPr/>
    </dgm:pt>
    <dgm:pt modelId="{5A6E6256-2AE7-4D60-A3DF-E1FF150239EC}" type="pres">
      <dgm:prSet presAssocID="{78385690-854A-4EF2-BF5D-80B1C97801A5}" presName="dummyNode2" presStyleLbl="node1" presStyleIdx="2" presStyleCnt="5"/>
      <dgm:spPr/>
    </dgm:pt>
    <dgm:pt modelId="{25F42CF6-96E5-4CB7-AFD9-9FECF499AABD}" type="pres">
      <dgm:prSet presAssocID="{78385690-854A-4EF2-BF5D-80B1C97801A5}" presName="childNode2" presStyleLbl="bgAcc1" presStyleIdx="3" presStyleCnt="5" custScaleY="136562">
        <dgm:presLayoutVars>
          <dgm:bulletEnabled val="1"/>
        </dgm:presLayoutVars>
      </dgm:prSet>
      <dgm:spPr/>
      <dgm:t>
        <a:bodyPr/>
        <a:p>
          <a:endParaRPr lang="en-US"/>
        </a:p>
      </dgm:t>
    </dgm:pt>
    <dgm:pt modelId="{C493F379-E8FB-4FF3-A0CF-17FA29733CD6}" type="pres">
      <dgm:prSet presAssocID="{78385690-854A-4EF2-BF5D-80B1C97801A5}" presName="childNode2tx" presStyleLbl="bgAcc1" presStyleIdx="3" presStyleCnt="5">
        <dgm:presLayoutVars>
          <dgm:bulletEnabled val="1"/>
        </dgm:presLayoutVars>
      </dgm:prSet>
      <dgm:spPr/>
      <dgm:t>
        <a:bodyPr/>
        <a:p>
          <a:endParaRPr lang="en-US"/>
        </a:p>
      </dgm:t>
    </dgm:pt>
    <dgm:pt modelId="{DC67DB75-E3E5-4990-B776-27D3006980E6}" type="pres">
      <dgm:prSet presAssocID="{78385690-854A-4EF2-BF5D-80B1C97801A5}" presName="parentNode2" presStyleLbl="node1" presStyleIdx="3" presStyleCnt="5" custLinFactNeighborX="-18553" custLinFactNeighborY="-17774">
        <dgm:presLayoutVars>
          <dgm:chMax val="0"/>
          <dgm:bulletEnabled val="1"/>
        </dgm:presLayoutVars>
      </dgm:prSet>
      <dgm:spPr/>
      <dgm:t>
        <a:bodyPr/>
        <a:p>
          <a:endParaRPr lang="en-US"/>
        </a:p>
      </dgm:t>
    </dgm:pt>
    <dgm:pt modelId="{467689EF-C83C-47BC-961C-97836ED0A721}" type="pres">
      <dgm:prSet presAssocID="{78385690-854A-4EF2-BF5D-80B1C97801A5}" presName="connSite2" presStyleCnt="0"/>
      <dgm:spPr/>
    </dgm:pt>
    <dgm:pt modelId="{F4F5CCE9-4A36-4E99-814A-8C68CD86E39D}" type="pres">
      <dgm:prSet presAssocID="{CE40BF10-598F-4C70-868C-F8E07302C022}" presName="Name18" presStyleLbl="sibTrans2D1" presStyleIdx="3" presStyleCnt="4" custLinFactNeighborX="31379" custLinFactNeighborY="4181"/>
      <dgm:spPr/>
      <dgm:t>
        <a:bodyPr/>
        <a:p>
          <a:endParaRPr lang="en-US"/>
        </a:p>
      </dgm:t>
    </dgm:pt>
    <dgm:pt modelId="{7FA15BCB-2EAF-4943-B705-5D44C97EA76D}" type="pres">
      <dgm:prSet presAssocID="{53B32063-EC0C-44C1-94EA-100D1D0C0B67}" presName="composite1" presStyleCnt="0"/>
      <dgm:spPr/>
    </dgm:pt>
    <dgm:pt modelId="{E886B979-73EE-49C0-B7BB-4E855C490FA6}" type="pres">
      <dgm:prSet presAssocID="{53B32063-EC0C-44C1-94EA-100D1D0C0B67}" presName="dummyNode1" presStyleLbl="node1" presStyleIdx="3" presStyleCnt="5"/>
      <dgm:spPr/>
    </dgm:pt>
    <dgm:pt modelId="{6B4B95DE-1F93-4A95-809F-ECA4CDAEECEF}" type="pres">
      <dgm:prSet presAssocID="{53B32063-EC0C-44C1-94EA-100D1D0C0B67}" presName="childNode1" presStyleLbl="bgAcc1" presStyleIdx="4" presStyleCnt="5">
        <dgm:presLayoutVars>
          <dgm:bulletEnabled val="1"/>
        </dgm:presLayoutVars>
      </dgm:prSet>
      <dgm:spPr/>
    </dgm:pt>
    <dgm:pt modelId="{B7BC95B2-EBB4-40B5-A518-53EF88C1D601}" type="pres">
      <dgm:prSet presAssocID="{53B32063-EC0C-44C1-94EA-100D1D0C0B67}" presName="childNode1tx" presStyleLbl="bgAcc1" presStyleIdx="4" presStyleCnt="5">
        <dgm:presLayoutVars>
          <dgm:bulletEnabled val="1"/>
        </dgm:presLayoutVars>
      </dgm:prSet>
      <dgm:spPr/>
    </dgm:pt>
    <dgm:pt modelId="{BBC77876-EFB5-44F8-8A16-B01822CA96EA}" type="pres">
      <dgm:prSet presAssocID="{53B32063-EC0C-44C1-94EA-100D1D0C0B67}" presName="parentNode1" presStyleLbl="node1" presStyleIdx="4" presStyleCnt="5" custLinFactY="-8863" custLinFactNeighborX="-19437" custLinFactNeighborY="-100000">
        <dgm:presLayoutVars>
          <dgm:chMax val="1"/>
          <dgm:bulletEnabled val="1"/>
        </dgm:presLayoutVars>
      </dgm:prSet>
      <dgm:spPr/>
      <dgm:t>
        <a:bodyPr/>
        <a:p>
          <a:endParaRPr lang="en-US"/>
        </a:p>
      </dgm:t>
    </dgm:pt>
    <dgm:pt modelId="{5A1E9E2F-7995-45C7-A523-D83FDC723F87}" type="pres">
      <dgm:prSet presAssocID="{53B32063-EC0C-44C1-94EA-100D1D0C0B67}" presName="connSite1" presStyleCnt="0"/>
      <dgm:spPr/>
    </dgm:pt>
  </dgm:ptLst>
  <dgm:cxnLst>
    <dgm:cxn modelId="{C8763DD5-D951-4226-BAD1-226346B68E35}" srcId="{A642C8E8-0591-45CE-AAA4-C0D5B48BA709}" destId="{78385690-854A-4EF2-BF5D-80B1C97801A5}" srcOrd="3" destOrd="0" parTransId="{835BD87E-AB61-4483-9365-DC9CFB3658E7}" sibTransId="{CE40BF10-598F-4C70-868C-F8E07302C022}"/>
    <dgm:cxn modelId="{57DAF405-6425-498B-847C-B1CDA6D968AC}" type="presOf" srcId="{DB5E4423-B093-4189-8A6A-3956648395DF}" destId="{7E36F1CE-3E14-44DE-BBBD-7BEFCEAC0179}" srcOrd="0" destOrd="0" presId="urn:microsoft.com/office/officeart/2005/8/layout/hProcess4"/>
    <dgm:cxn modelId="{4FC90047-876E-4BB0-8D04-0087FA83249A}" type="presOf" srcId="{4FAE5CA7-8FB3-47F8-AF27-A10F4889EE46}" destId="{E1BD5D8C-328E-4FCF-827A-DD4291542404}" srcOrd="0" destOrd="0" presId="urn:microsoft.com/office/officeart/2005/8/layout/hProcess4"/>
    <dgm:cxn modelId="{5FA27C34-0729-477B-B1D6-311327E12C20}" type="presOf" srcId="{78385690-854A-4EF2-BF5D-80B1C97801A5}" destId="{DC67DB75-E3E5-4990-B776-27D3006980E6}" srcOrd="0" destOrd="0" presId="urn:microsoft.com/office/officeart/2005/8/layout/hProcess4"/>
    <dgm:cxn modelId="{060E2813-121D-4F77-BE8B-FF3E8C41442C}" type="presOf" srcId="{C31E55D7-32D4-4267-9B7C-6BAC537CDCAA}" destId="{A891854A-7A4C-4ADB-9F39-B4CEB0844E76}" srcOrd="0" destOrd="0" presId="urn:microsoft.com/office/officeart/2005/8/layout/hProcess4"/>
    <dgm:cxn modelId="{7981D63D-E860-4D3C-9866-2A3222F4E65D}" type="presOf" srcId="{4FAE5CA7-8FB3-47F8-AF27-A10F4889EE46}" destId="{2DFBAAD8-FB2C-44A1-86BD-78DA90CBBF4A}" srcOrd="1" destOrd="0" presId="urn:microsoft.com/office/officeart/2005/8/layout/hProcess4"/>
    <dgm:cxn modelId="{102BB478-2F8A-4EA7-8BF7-3C0D1572D19A}" type="presOf" srcId="{9D41FB15-A941-444A-BFDC-E3A53FE7D091}" destId="{61833819-8A37-42DB-88F2-006B7656936A}" srcOrd="0" destOrd="2" presId="urn:microsoft.com/office/officeart/2005/8/layout/hProcess4"/>
    <dgm:cxn modelId="{3AE1C258-2530-46C2-A4AA-D6DF30747445}" type="presOf" srcId="{62A8CCC7-9E80-456C-BE14-CDF1E6EF777B}" destId="{475A8F58-F405-4352-A7E2-E13AC318A418}" srcOrd="1" destOrd="1" presId="urn:microsoft.com/office/officeart/2005/8/layout/hProcess4"/>
    <dgm:cxn modelId="{4FB2967B-4F4E-42D1-99B0-F472B42F6609}" type="presOf" srcId="{8C180FA2-620A-4F19-8D8F-ABBF8D30E147}" destId="{E29F2250-3A6E-46B8-8D97-F9C22F244A77}" srcOrd="0" destOrd="1" presId="urn:microsoft.com/office/officeart/2005/8/layout/hProcess4"/>
    <dgm:cxn modelId="{C9F7AA4D-F67A-4992-8641-B48FD5631599}" type="presOf" srcId="{34565255-744B-49BB-A166-1F8B08ECDEF0}" destId="{DA93DA49-644D-4597-B23C-9243DE60C7E6}" srcOrd="0" destOrd="0" presId="urn:microsoft.com/office/officeart/2005/8/layout/hProcess4"/>
    <dgm:cxn modelId="{BEE5522B-247F-4808-B75A-4BC8318AFFF4}" srcId="{A642C8E8-0591-45CE-AAA4-C0D5B48BA709}" destId="{53B32063-EC0C-44C1-94EA-100D1D0C0B67}" srcOrd="4" destOrd="0" parTransId="{B34C4438-EBD1-4336-BBDB-9E63213EBA8D}" sibTransId="{3548B826-04CB-4FE8-984A-54CE1E06F733}"/>
    <dgm:cxn modelId="{72DA42E7-A0E0-41AA-A79E-8836572B78A0}" type="presOf" srcId="{DC12E043-5A6C-4EF0-9FF6-153937F50AB1}" destId="{25F42CF6-96E5-4CB7-AFD9-9FECF499AABD}" srcOrd="0" destOrd="0" presId="urn:microsoft.com/office/officeart/2005/8/layout/hProcess4"/>
    <dgm:cxn modelId="{CF3EF6B3-1E0A-4E3A-9C08-B201891C6ED8}" type="presOf" srcId="{336DDE8B-6530-40F9-8988-F127C3CC0708}" destId="{25F42CF6-96E5-4CB7-AFD9-9FECF499AABD}" srcOrd="0" destOrd="2" presId="urn:microsoft.com/office/officeart/2005/8/layout/hProcess4"/>
    <dgm:cxn modelId="{571B92BD-5B70-4773-ACEE-63A44CC13425}" type="presOf" srcId="{A285C6A3-2E9D-4AAD-BC5E-D8C4D1CC9E0C}" destId="{E29F2250-3A6E-46B8-8D97-F9C22F244A77}" srcOrd="0" destOrd="3" presId="urn:microsoft.com/office/officeart/2005/8/layout/hProcess4"/>
    <dgm:cxn modelId="{4535844C-3E8F-4E7C-B04A-13ADE1000283}" type="presOf" srcId="{55F47C97-0951-4180-89AE-5B1CDF265FEC}" destId="{2DFBAAD8-FB2C-44A1-86BD-78DA90CBBF4A}" srcOrd="1" destOrd="3" presId="urn:microsoft.com/office/officeart/2005/8/layout/hProcess4"/>
    <dgm:cxn modelId="{B693D386-4852-4F5C-A575-FA7B526929C1}" type="presOf" srcId="{BD9681DD-9D8D-4C05-83F8-B500F3ED711E}" destId="{E1BD5D8C-328E-4FCF-827A-DD4291542404}" srcOrd="0" destOrd="1" presId="urn:microsoft.com/office/officeart/2005/8/layout/hProcess4"/>
    <dgm:cxn modelId="{3C2C446A-BC2E-463B-86F8-14EA32320B70}" type="presOf" srcId="{E10F8263-70A1-4CAF-9494-B6B839FB1322}" destId="{6F0D2950-18F6-4479-ABA5-B4D261403951}" srcOrd="1" destOrd="0" presId="urn:microsoft.com/office/officeart/2005/8/layout/hProcess4"/>
    <dgm:cxn modelId="{095240DB-F1EB-4B4C-AC89-DF9F3179B01A}" srcId="{34565255-744B-49BB-A166-1F8B08ECDEF0}" destId="{599CCF1C-35F0-4D41-A911-F963A3B1EF01}" srcOrd="2" destOrd="0" parTransId="{8AA4043A-3003-4F69-A023-D562C825C122}" sibTransId="{C09620B8-0C32-403E-81E9-601E6E54B76A}"/>
    <dgm:cxn modelId="{DC096577-EB22-4062-AF11-FFA87F720381}" type="presOf" srcId="{E061EAB1-81AD-4353-A87D-DEF718EC54F3}" destId="{E1BD5D8C-328E-4FCF-827A-DD4291542404}" srcOrd="0" destOrd="2" presId="urn:microsoft.com/office/officeart/2005/8/layout/hProcess4"/>
    <dgm:cxn modelId="{044A1FAC-E11E-49F4-A354-820858DDD302}" srcId="{34565255-744B-49BB-A166-1F8B08ECDEF0}" destId="{8C180FA2-620A-4F19-8D8F-ABBF8D30E147}" srcOrd="1" destOrd="0" parTransId="{04E7FBBF-D6C4-4FEF-A879-07CDDC9EBB53}" sibTransId="{6C4046E4-B417-4A09-855E-8B277659B5D0}"/>
    <dgm:cxn modelId="{225DF419-F60E-4578-B286-B1788E73D454}" type="presOf" srcId="{599CCF1C-35F0-4D41-A911-F963A3B1EF01}" destId="{E29F2250-3A6E-46B8-8D97-F9C22F244A77}" srcOrd="0" destOrd="2" presId="urn:microsoft.com/office/officeart/2005/8/layout/hProcess4"/>
    <dgm:cxn modelId="{64ACACA7-4845-4D4F-BCC3-0AE874EF98BE}" type="presOf" srcId="{BF96DE38-E624-4528-A004-35C533BEEA32}" destId="{61833819-8A37-42DB-88F2-006B7656936A}" srcOrd="0" destOrd="0" presId="urn:microsoft.com/office/officeart/2005/8/layout/hProcess4"/>
    <dgm:cxn modelId="{08CADDDD-67AB-4E3E-A5D2-E0C574EDC747}" srcId="{A642C8E8-0591-45CE-AAA4-C0D5B48BA709}" destId="{DADA9A35-4712-4515-A08C-9776FC877165}" srcOrd="2" destOrd="0" parTransId="{5A772DBC-63AF-4D1C-9C69-04E84113A4F9}" sibTransId="{E147A6E4-10D7-4150-B9C3-C1A97BBDCE1E}"/>
    <dgm:cxn modelId="{301145FF-05E8-4C00-8A6E-E78ABA906FFB}" type="presOf" srcId="{55F47C97-0951-4180-89AE-5B1CDF265FEC}" destId="{E1BD5D8C-328E-4FCF-827A-DD4291542404}" srcOrd="0" destOrd="3" presId="urn:microsoft.com/office/officeart/2005/8/layout/hProcess4"/>
    <dgm:cxn modelId="{1DAE8D18-0307-4804-9B36-EA30EFA5E45D}" type="presOf" srcId="{53B32063-EC0C-44C1-94EA-100D1D0C0B67}" destId="{BBC77876-EFB5-44F8-8A16-B01822CA96EA}" srcOrd="0" destOrd="0" presId="urn:microsoft.com/office/officeart/2005/8/layout/hProcess4"/>
    <dgm:cxn modelId="{FDDD4289-71FB-4608-9DC8-13A7549D14E9}" type="presOf" srcId="{336DDE8B-6530-40F9-8988-F127C3CC0708}" destId="{C493F379-E8FB-4FF3-A0CF-17FA29733CD6}" srcOrd="1" destOrd="2" presId="urn:microsoft.com/office/officeart/2005/8/layout/hProcess4"/>
    <dgm:cxn modelId="{67B1ADC3-D402-42F5-A5D1-EB1593D7B1F4}" type="presOf" srcId="{8C180FA2-620A-4F19-8D8F-ABBF8D30E147}" destId="{6F0D2950-18F6-4479-ABA5-B4D261403951}" srcOrd="1" destOrd="1" presId="urn:microsoft.com/office/officeart/2005/8/layout/hProcess4"/>
    <dgm:cxn modelId="{35881245-6DAC-4DFA-A4BF-F0A45C606AF0}" type="presOf" srcId="{599CCF1C-35F0-4D41-A911-F963A3B1EF01}" destId="{6F0D2950-18F6-4479-ABA5-B4D261403951}" srcOrd="1" destOrd="2" presId="urn:microsoft.com/office/officeart/2005/8/layout/hProcess4"/>
    <dgm:cxn modelId="{5034E0A1-763B-495B-AB59-E62951C0FCE5}" srcId="{DADA9A35-4712-4515-A08C-9776FC877165}" destId="{62A8CCC7-9E80-456C-BE14-CDF1E6EF777B}" srcOrd="1" destOrd="0" parTransId="{FCE67EF6-114E-475D-9CCB-5A25E65BC409}" sibTransId="{2DA31927-14AB-421E-9368-FAB25C0ECA04}"/>
    <dgm:cxn modelId="{96D18896-0638-4795-9EFC-3C08B4A1D9C4}" type="presOf" srcId="{E147A6E4-10D7-4150-B9C3-C1A97BBDCE1E}" destId="{30469B7E-04E9-459E-AEA1-1FE9DE35CB56}" srcOrd="0" destOrd="0" presId="urn:microsoft.com/office/officeart/2005/8/layout/hProcess4"/>
    <dgm:cxn modelId="{6A5F28F8-F399-4EF2-9E2F-7350DFF59A6D}" srcId="{78385690-854A-4EF2-BF5D-80B1C97801A5}" destId="{3283B852-1276-4C05-9E6B-DBBF25AB64FF}" srcOrd="1" destOrd="0" parTransId="{206D2C4D-82EC-4A7B-AAE0-B2C9AD9060B6}" sibTransId="{D9937824-24E4-4BD8-B046-71E419508529}"/>
    <dgm:cxn modelId="{1065EF42-E57E-44E6-9F75-9099EAA2E04C}" type="presOf" srcId="{E10F8263-70A1-4CAF-9494-B6B839FB1322}" destId="{E29F2250-3A6E-46B8-8D97-F9C22F244A77}" srcOrd="0" destOrd="0" presId="urn:microsoft.com/office/officeart/2005/8/layout/hProcess4"/>
    <dgm:cxn modelId="{82AB3498-463C-47AD-8AFC-6A4D71855BBC}" type="presOf" srcId="{DC12E043-5A6C-4EF0-9FF6-153937F50AB1}" destId="{C493F379-E8FB-4FF3-A0CF-17FA29733CD6}" srcOrd="1" destOrd="0" presId="urn:microsoft.com/office/officeart/2005/8/layout/hProcess4"/>
    <dgm:cxn modelId="{BFD75F93-89AF-458D-AB41-BF7EF0DEF83C}" srcId="{78385690-854A-4EF2-BF5D-80B1C97801A5}" destId="{336DDE8B-6530-40F9-8988-F127C3CC0708}" srcOrd="2" destOrd="0" parTransId="{9B989008-6D4C-4E68-87C8-4EA18CD84172}" sibTransId="{FE2C57E4-08A7-4CE7-94D4-FA39393AD859}"/>
    <dgm:cxn modelId="{F6F986B1-6AB5-450B-9753-716F52ABB38A}" srcId="{8652C19C-74F4-4AA2-A800-23F71C615936}" destId="{BD9681DD-9D8D-4C05-83F8-B500F3ED711E}" srcOrd="1" destOrd="0" parTransId="{7E393EB6-63D0-4371-85E8-B6360240DF33}" sibTransId="{51BA9B9C-758F-440C-9C39-833B525496EC}"/>
    <dgm:cxn modelId="{1D4B42DE-531F-4B2D-8875-95DFEFDAD61B}" type="presOf" srcId="{A285C6A3-2E9D-4AAD-BC5E-D8C4D1CC9E0C}" destId="{6F0D2950-18F6-4479-ABA5-B4D261403951}" srcOrd="1" destOrd="3" presId="urn:microsoft.com/office/officeart/2005/8/layout/hProcess4"/>
    <dgm:cxn modelId="{2D1EE410-5499-41D0-88D1-BB3BD8708465}" type="presOf" srcId="{DADA9A35-4712-4515-A08C-9776FC877165}" destId="{9E998301-A1A2-4001-A7DF-5F4B8D7F46CB}" srcOrd="0" destOrd="0" presId="urn:microsoft.com/office/officeart/2005/8/layout/hProcess4"/>
    <dgm:cxn modelId="{02E11707-726B-42D0-AF73-3CAE7840D3E8}" type="presOf" srcId="{3283B852-1276-4C05-9E6B-DBBF25AB64FF}" destId="{25F42CF6-96E5-4CB7-AFD9-9FECF499AABD}" srcOrd="0" destOrd="1" presId="urn:microsoft.com/office/officeart/2005/8/layout/hProcess4"/>
    <dgm:cxn modelId="{CAD981A9-F812-4F55-9C75-D348B60C29E9}" srcId="{8652C19C-74F4-4AA2-A800-23F71C615936}" destId="{E061EAB1-81AD-4353-A87D-DEF718EC54F3}" srcOrd="2" destOrd="0" parTransId="{66B4B82E-FEFC-44B3-9235-916C9903FF17}" sibTransId="{16454932-34AD-4E5D-B0C6-522B2085A5E3}"/>
    <dgm:cxn modelId="{54D80631-F77A-4AD6-8F60-011BACD78979}" srcId="{DADA9A35-4712-4515-A08C-9776FC877165}" destId="{BF96DE38-E624-4528-A004-35C533BEEA32}" srcOrd="0" destOrd="0" parTransId="{17C56912-04C3-426A-9CD7-42B83E4B6757}" sibTransId="{081D3527-E48C-421E-A2DD-E1B0A589EAAC}"/>
    <dgm:cxn modelId="{75EB8D73-C07F-4E28-9BBA-C7DE756287F8}" srcId="{A642C8E8-0591-45CE-AAA4-C0D5B48BA709}" destId="{8652C19C-74F4-4AA2-A800-23F71C615936}" srcOrd="1" destOrd="0" parTransId="{990E8AE0-9801-40A2-B243-6B7238C55155}" sibTransId="{C31E55D7-32D4-4267-9B7C-6BAC537CDCAA}"/>
    <dgm:cxn modelId="{14633A56-A29A-4951-8E44-1B56949B26C7}" srcId="{8652C19C-74F4-4AA2-A800-23F71C615936}" destId="{55F47C97-0951-4180-89AE-5B1CDF265FEC}" srcOrd="3" destOrd="0" parTransId="{B84DD0EC-4F99-4B20-89F6-BA292807783E}" sibTransId="{357DE4BB-950B-4D8E-9937-39C4EB84CB90}"/>
    <dgm:cxn modelId="{EC8918E1-2A80-4ED2-8F6E-00F993D5D125}" type="presOf" srcId="{8652C19C-74F4-4AA2-A800-23F71C615936}" destId="{410AF7CE-A43A-4175-ABD1-D8DCE226514F}" srcOrd="0" destOrd="0" presId="urn:microsoft.com/office/officeart/2005/8/layout/hProcess4"/>
    <dgm:cxn modelId="{F6AA2145-8349-42AB-BB4F-3F1F4BCC699D}" type="presOf" srcId="{BF96DE38-E624-4528-A004-35C533BEEA32}" destId="{475A8F58-F405-4352-A7E2-E13AC318A418}" srcOrd="1" destOrd="0" presId="urn:microsoft.com/office/officeart/2005/8/layout/hProcess4"/>
    <dgm:cxn modelId="{23B43B83-EE7D-4249-9CF1-542C9EC62F39}" type="presOf" srcId="{CE40BF10-598F-4C70-868C-F8E07302C022}" destId="{F4F5CCE9-4A36-4E99-814A-8C68CD86E39D}" srcOrd="0" destOrd="0" presId="urn:microsoft.com/office/officeart/2005/8/layout/hProcess4"/>
    <dgm:cxn modelId="{F085D3F3-DB40-4A1B-BD6D-6AB1167C73F0}" type="presOf" srcId="{A642C8E8-0591-45CE-AAA4-C0D5B48BA709}" destId="{EDD93792-574C-45C2-8DFF-A28B7BD28918}" srcOrd="0" destOrd="0" presId="urn:microsoft.com/office/officeart/2005/8/layout/hProcess4"/>
    <dgm:cxn modelId="{B474A663-EDE7-4FC7-BB1F-F588E3E8CC93}" srcId="{8652C19C-74F4-4AA2-A800-23F71C615936}" destId="{4FAE5CA7-8FB3-47F8-AF27-A10F4889EE46}" srcOrd="0" destOrd="0" parTransId="{39480C11-D9FD-4288-AE59-19291048674B}" sibTransId="{E4EAE6D9-4348-4A8D-A94E-B2F516D12885}"/>
    <dgm:cxn modelId="{E2AA05B9-D564-41B4-B97B-729A6DF3062F}" type="presOf" srcId="{3283B852-1276-4C05-9E6B-DBBF25AB64FF}" destId="{C493F379-E8FB-4FF3-A0CF-17FA29733CD6}" srcOrd="1" destOrd="1" presId="urn:microsoft.com/office/officeart/2005/8/layout/hProcess4"/>
    <dgm:cxn modelId="{D6334FFF-5918-46BE-BE52-7E13FF37102F}" srcId="{34565255-744B-49BB-A166-1F8B08ECDEF0}" destId="{A285C6A3-2E9D-4AAD-BC5E-D8C4D1CC9E0C}" srcOrd="3" destOrd="0" parTransId="{BBE9681C-22EA-4BFB-8A5A-FA1B3DF3D218}" sibTransId="{D55DB415-4CC3-4831-B564-66DAE96BCA04}"/>
    <dgm:cxn modelId="{01A87C43-0382-4CA0-8F8F-F1A7D2CE84F4}" type="presOf" srcId="{9D41FB15-A941-444A-BFDC-E3A53FE7D091}" destId="{475A8F58-F405-4352-A7E2-E13AC318A418}" srcOrd="1" destOrd="2" presId="urn:microsoft.com/office/officeart/2005/8/layout/hProcess4"/>
    <dgm:cxn modelId="{59720A99-64CE-4D85-8996-A00758D17B8D}" srcId="{A642C8E8-0591-45CE-AAA4-C0D5B48BA709}" destId="{34565255-744B-49BB-A166-1F8B08ECDEF0}" srcOrd="0" destOrd="0" parTransId="{6AB8C390-C4F2-42CC-A5A5-65CF71009DCE}" sibTransId="{DB5E4423-B093-4189-8A6A-3956648395DF}"/>
    <dgm:cxn modelId="{DD344992-0164-4A9D-A3D8-C582B374E833}" srcId="{78385690-854A-4EF2-BF5D-80B1C97801A5}" destId="{DC12E043-5A6C-4EF0-9FF6-153937F50AB1}" srcOrd="0" destOrd="0" parTransId="{5E158F3C-A879-41E2-A90F-12E30A09BDF3}" sibTransId="{06EF8B8B-113E-484D-BC4C-C352F836944E}"/>
    <dgm:cxn modelId="{24379D4E-CED6-4805-82F3-7987ABC49A16}" srcId="{34565255-744B-49BB-A166-1F8B08ECDEF0}" destId="{E10F8263-70A1-4CAF-9494-B6B839FB1322}" srcOrd="0" destOrd="0" parTransId="{3E8A36F8-7E57-4615-ADF6-F74E4267CC47}" sibTransId="{7A68ECC3-4DCC-4EA8-B711-E98AC00BC9EE}"/>
    <dgm:cxn modelId="{C97A9558-2182-443B-BA45-3172D8248E79}" srcId="{DADA9A35-4712-4515-A08C-9776FC877165}" destId="{9D41FB15-A941-444A-BFDC-E3A53FE7D091}" srcOrd="2" destOrd="0" parTransId="{F643E4DA-7322-4DB3-8921-F0DD6F3D3043}" sibTransId="{8E9E5439-A486-4EE9-AC70-29FA3A4AD065}"/>
    <dgm:cxn modelId="{51EE3D21-381F-492C-B614-F72A9F13696C}" type="presOf" srcId="{BD9681DD-9D8D-4C05-83F8-B500F3ED711E}" destId="{2DFBAAD8-FB2C-44A1-86BD-78DA90CBBF4A}" srcOrd="1" destOrd="1" presId="urn:microsoft.com/office/officeart/2005/8/layout/hProcess4"/>
    <dgm:cxn modelId="{4A3EFEA5-01A9-411E-902A-93A0F75ECD66}" type="presOf" srcId="{E061EAB1-81AD-4353-A87D-DEF718EC54F3}" destId="{2DFBAAD8-FB2C-44A1-86BD-78DA90CBBF4A}" srcOrd="1" destOrd="2" presId="urn:microsoft.com/office/officeart/2005/8/layout/hProcess4"/>
    <dgm:cxn modelId="{43E31CFE-597B-48E5-B27F-49CE2C1A164B}" type="presOf" srcId="{62A8CCC7-9E80-456C-BE14-CDF1E6EF777B}" destId="{61833819-8A37-42DB-88F2-006B7656936A}" srcOrd="0" destOrd="1" presId="urn:microsoft.com/office/officeart/2005/8/layout/hProcess4"/>
    <dgm:cxn modelId="{254D8E9A-B583-45FC-A731-173E81DCAC65}" type="presParOf" srcId="{EDD93792-574C-45C2-8DFF-A28B7BD28918}" destId="{8B20599C-7208-4E56-9339-1F02877B2AE6}" srcOrd="0" destOrd="0" presId="urn:microsoft.com/office/officeart/2005/8/layout/hProcess4"/>
    <dgm:cxn modelId="{954651A8-77FB-4CFC-B61E-9E6B2DD05145}" type="presParOf" srcId="{EDD93792-574C-45C2-8DFF-A28B7BD28918}" destId="{BEBC6C05-D63C-4ED5-B6ED-72E2571A0019}" srcOrd="1" destOrd="0" presId="urn:microsoft.com/office/officeart/2005/8/layout/hProcess4"/>
    <dgm:cxn modelId="{5BE400A2-C14F-42E9-A3E6-953D253EF691}" type="presParOf" srcId="{EDD93792-574C-45C2-8DFF-A28B7BD28918}" destId="{2B489E41-A03F-43A8-B164-4FB71EFFAE74}" srcOrd="2" destOrd="0" presId="urn:microsoft.com/office/officeart/2005/8/layout/hProcess4"/>
    <dgm:cxn modelId="{BD4664CD-FCF9-4967-B526-401DF4424FEC}" type="presParOf" srcId="{2B489E41-A03F-43A8-B164-4FB71EFFAE74}" destId="{AE64A8AE-782E-4D1A-B2F7-24D9564421EB}" srcOrd="0" destOrd="0" presId="urn:microsoft.com/office/officeart/2005/8/layout/hProcess4"/>
    <dgm:cxn modelId="{AD5E177B-183E-4867-9B3D-8F40F9955944}" type="presParOf" srcId="{AE64A8AE-782E-4D1A-B2F7-24D9564421EB}" destId="{539F4329-76EF-49A8-B6F7-901AF034FB2A}" srcOrd="0" destOrd="0" presId="urn:microsoft.com/office/officeart/2005/8/layout/hProcess4"/>
    <dgm:cxn modelId="{3917A942-44FD-4369-B418-2FF257C10FCE}" type="presParOf" srcId="{AE64A8AE-782E-4D1A-B2F7-24D9564421EB}" destId="{E29F2250-3A6E-46B8-8D97-F9C22F244A77}" srcOrd="1" destOrd="0" presId="urn:microsoft.com/office/officeart/2005/8/layout/hProcess4"/>
    <dgm:cxn modelId="{4CFCF938-73A0-4F1B-AD91-A09451356825}" type="presParOf" srcId="{AE64A8AE-782E-4D1A-B2F7-24D9564421EB}" destId="{6F0D2950-18F6-4479-ABA5-B4D261403951}" srcOrd="2" destOrd="0" presId="urn:microsoft.com/office/officeart/2005/8/layout/hProcess4"/>
    <dgm:cxn modelId="{8176C218-0E05-4964-9024-5C2EF45B8B3D}" type="presParOf" srcId="{AE64A8AE-782E-4D1A-B2F7-24D9564421EB}" destId="{DA93DA49-644D-4597-B23C-9243DE60C7E6}" srcOrd="3" destOrd="0" presId="urn:microsoft.com/office/officeart/2005/8/layout/hProcess4"/>
    <dgm:cxn modelId="{21CC8FAB-366C-4983-90BC-2A53D8704FD5}" type="presParOf" srcId="{AE64A8AE-782E-4D1A-B2F7-24D9564421EB}" destId="{9F70B134-0B2A-4672-AAA3-7B3D11DA2B49}" srcOrd="4" destOrd="0" presId="urn:microsoft.com/office/officeart/2005/8/layout/hProcess4"/>
    <dgm:cxn modelId="{9A0183F4-EC61-4128-B675-C5A395F05E2C}" type="presParOf" srcId="{2B489E41-A03F-43A8-B164-4FB71EFFAE74}" destId="{7E36F1CE-3E14-44DE-BBBD-7BEFCEAC0179}" srcOrd="1" destOrd="0" presId="urn:microsoft.com/office/officeart/2005/8/layout/hProcess4"/>
    <dgm:cxn modelId="{D9DAD0E4-EF73-4654-AC7B-657AC4FB29CF}" type="presParOf" srcId="{2B489E41-A03F-43A8-B164-4FB71EFFAE74}" destId="{24D4C8A2-9666-4554-8246-638BA10AE163}" srcOrd="2" destOrd="0" presId="urn:microsoft.com/office/officeart/2005/8/layout/hProcess4"/>
    <dgm:cxn modelId="{C2BE4B50-455E-4E84-945A-9BD265A0A90D}" type="presParOf" srcId="{24D4C8A2-9666-4554-8246-638BA10AE163}" destId="{3AA6C359-EFA2-44D8-AEA7-99479BF30CAB}" srcOrd="0" destOrd="0" presId="urn:microsoft.com/office/officeart/2005/8/layout/hProcess4"/>
    <dgm:cxn modelId="{A665FFDF-DDAA-4745-94EB-494612FDFFD3}" type="presParOf" srcId="{24D4C8A2-9666-4554-8246-638BA10AE163}" destId="{E1BD5D8C-328E-4FCF-827A-DD4291542404}" srcOrd="1" destOrd="0" presId="urn:microsoft.com/office/officeart/2005/8/layout/hProcess4"/>
    <dgm:cxn modelId="{ABBCC02E-047D-4CC1-B0FA-5AAFC19B361E}" type="presParOf" srcId="{24D4C8A2-9666-4554-8246-638BA10AE163}" destId="{2DFBAAD8-FB2C-44A1-86BD-78DA90CBBF4A}" srcOrd="2" destOrd="0" presId="urn:microsoft.com/office/officeart/2005/8/layout/hProcess4"/>
    <dgm:cxn modelId="{FFD579AC-D908-4A35-B73B-6935D4C64DA8}" type="presParOf" srcId="{24D4C8A2-9666-4554-8246-638BA10AE163}" destId="{410AF7CE-A43A-4175-ABD1-D8DCE226514F}" srcOrd="3" destOrd="0" presId="urn:microsoft.com/office/officeart/2005/8/layout/hProcess4"/>
    <dgm:cxn modelId="{9E3DCE21-BC67-4A86-8682-D8B16AB9908C}" type="presParOf" srcId="{24D4C8A2-9666-4554-8246-638BA10AE163}" destId="{47882EEC-D33A-40C6-B5E2-51E378C8A3D6}" srcOrd="4" destOrd="0" presId="urn:microsoft.com/office/officeart/2005/8/layout/hProcess4"/>
    <dgm:cxn modelId="{2A542C77-6A28-4385-AA11-E29B126B8FBA}" type="presParOf" srcId="{2B489E41-A03F-43A8-B164-4FB71EFFAE74}" destId="{A891854A-7A4C-4ADB-9F39-B4CEB0844E76}" srcOrd="3" destOrd="0" presId="urn:microsoft.com/office/officeart/2005/8/layout/hProcess4"/>
    <dgm:cxn modelId="{E0148057-8BE8-4C5E-B25B-D92CFD03FFF4}" type="presParOf" srcId="{2B489E41-A03F-43A8-B164-4FB71EFFAE74}" destId="{641E8C29-F001-4272-95BC-51D6D05DD5B3}" srcOrd="4" destOrd="0" presId="urn:microsoft.com/office/officeart/2005/8/layout/hProcess4"/>
    <dgm:cxn modelId="{E54316DE-8102-4102-A715-52627B9D2A00}" type="presParOf" srcId="{641E8C29-F001-4272-95BC-51D6D05DD5B3}" destId="{3E2D008A-F034-4D1F-9123-FD4C56FC6E39}" srcOrd="0" destOrd="0" presId="urn:microsoft.com/office/officeart/2005/8/layout/hProcess4"/>
    <dgm:cxn modelId="{842B420B-07D3-4781-83EC-27C1EEB20EC1}" type="presParOf" srcId="{641E8C29-F001-4272-95BC-51D6D05DD5B3}" destId="{61833819-8A37-42DB-88F2-006B7656936A}" srcOrd="1" destOrd="0" presId="urn:microsoft.com/office/officeart/2005/8/layout/hProcess4"/>
    <dgm:cxn modelId="{F0A7548F-6611-4647-BC75-4E051150B53C}" type="presParOf" srcId="{641E8C29-F001-4272-95BC-51D6D05DD5B3}" destId="{475A8F58-F405-4352-A7E2-E13AC318A418}" srcOrd="2" destOrd="0" presId="urn:microsoft.com/office/officeart/2005/8/layout/hProcess4"/>
    <dgm:cxn modelId="{BCF9F13A-021B-44EA-B32B-67DD7C370C15}" type="presParOf" srcId="{641E8C29-F001-4272-95BC-51D6D05DD5B3}" destId="{9E998301-A1A2-4001-A7DF-5F4B8D7F46CB}" srcOrd="3" destOrd="0" presId="urn:microsoft.com/office/officeart/2005/8/layout/hProcess4"/>
    <dgm:cxn modelId="{90C20465-A9AA-4B6D-9DA7-39ACDB85A8DC}" type="presParOf" srcId="{641E8C29-F001-4272-95BC-51D6D05DD5B3}" destId="{09993291-84C0-434C-A79A-9643FBDB704A}" srcOrd="4" destOrd="0" presId="urn:microsoft.com/office/officeart/2005/8/layout/hProcess4"/>
    <dgm:cxn modelId="{59E0F040-0BAC-47F8-B41F-70E6884A4FDB}" type="presParOf" srcId="{2B489E41-A03F-43A8-B164-4FB71EFFAE74}" destId="{30469B7E-04E9-459E-AEA1-1FE9DE35CB56}" srcOrd="5" destOrd="0" presId="urn:microsoft.com/office/officeart/2005/8/layout/hProcess4"/>
    <dgm:cxn modelId="{41307FE7-A1F4-4D52-938A-7F459DE453EC}" type="presParOf" srcId="{2B489E41-A03F-43A8-B164-4FB71EFFAE74}" destId="{357AADDB-70F2-4F00-B438-FB4D384BD9AB}" srcOrd="6" destOrd="0" presId="urn:microsoft.com/office/officeart/2005/8/layout/hProcess4"/>
    <dgm:cxn modelId="{B8A31FE1-EB76-47B9-B7DB-DC82198E131A}" type="presParOf" srcId="{357AADDB-70F2-4F00-B438-FB4D384BD9AB}" destId="{5A6E6256-2AE7-4D60-A3DF-E1FF150239EC}" srcOrd="0" destOrd="0" presId="urn:microsoft.com/office/officeart/2005/8/layout/hProcess4"/>
    <dgm:cxn modelId="{2FF4F680-29B7-4096-A357-73451980BEAD}" type="presParOf" srcId="{357AADDB-70F2-4F00-B438-FB4D384BD9AB}" destId="{25F42CF6-96E5-4CB7-AFD9-9FECF499AABD}" srcOrd="1" destOrd="0" presId="urn:microsoft.com/office/officeart/2005/8/layout/hProcess4"/>
    <dgm:cxn modelId="{8DFE454B-F49D-432A-AD97-9A8D04BF4DC4}" type="presParOf" srcId="{357AADDB-70F2-4F00-B438-FB4D384BD9AB}" destId="{C493F379-E8FB-4FF3-A0CF-17FA29733CD6}" srcOrd="2" destOrd="0" presId="urn:microsoft.com/office/officeart/2005/8/layout/hProcess4"/>
    <dgm:cxn modelId="{42FCD4BC-A78A-46DC-9892-DC351F4EDD85}" type="presParOf" srcId="{357AADDB-70F2-4F00-B438-FB4D384BD9AB}" destId="{DC67DB75-E3E5-4990-B776-27D3006980E6}" srcOrd="3" destOrd="0" presId="urn:microsoft.com/office/officeart/2005/8/layout/hProcess4"/>
    <dgm:cxn modelId="{9B275AB0-6012-4BF0-8199-203DA8779AA2}" type="presParOf" srcId="{357AADDB-70F2-4F00-B438-FB4D384BD9AB}" destId="{467689EF-C83C-47BC-961C-97836ED0A721}" srcOrd="4" destOrd="0" presId="urn:microsoft.com/office/officeart/2005/8/layout/hProcess4"/>
    <dgm:cxn modelId="{4AC3393C-971F-45F7-8252-98B9376C6AB3}" type="presParOf" srcId="{2B489E41-A03F-43A8-B164-4FB71EFFAE74}" destId="{F4F5CCE9-4A36-4E99-814A-8C68CD86E39D}" srcOrd="7" destOrd="0" presId="urn:microsoft.com/office/officeart/2005/8/layout/hProcess4"/>
    <dgm:cxn modelId="{0C1EAA89-BBED-4E2C-8C30-56394CBE7A2C}" type="presParOf" srcId="{2B489E41-A03F-43A8-B164-4FB71EFFAE74}" destId="{7FA15BCB-2EAF-4943-B705-5D44C97EA76D}" srcOrd="8" destOrd="0" presId="urn:microsoft.com/office/officeart/2005/8/layout/hProcess4"/>
    <dgm:cxn modelId="{D7003471-B5F2-426D-82DD-B20997E944C3}" type="presParOf" srcId="{7FA15BCB-2EAF-4943-B705-5D44C97EA76D}" destId="{E886B979-73EE-49C0-B7BB-4E855C490FA6}" srcOrd="0" destOrd="0" presId="urn:microsoft.com/office/officeart/2005/8/layout/hProcess4"/>
    <dgm:cxn modelId="{E3836EB5-0F8E-459B-9E78-2B60E1EFD8E2}" type="presParOf" srcId="{7FA15BCB-2EAF-4943-B705-5D44C97EA76D}" destId="{6B4B95DE-1F93-4A95-809F-ECA4CDAEECEF}" srcOrd="1" destOrd="0" presId="urn:microsoft.com/office/officeart/2005/8/layout/hProcess4"/>
    <dgm:cxn modelId="{AC189A2B-D4EA-4234-B432-50727EB82688}" type="presParOf" srcId="{7FA15BCB-2EAF-4943-B705-5D44C97EA76D}" destId="{B7BC95B2-EBB4-40B5-A518-53EF88C1D601}" srcOrd="2" destOrd="0" presId="urn:microsoft.com/office/officeart/2005/8/layout/hProcess4"/>
    <dgm:cxn modelId="{43AD19F3-C70C-4C64-BAD6-71670D0559F4}" type="presParOf" srcId="{7FA15BCB-2EAF-4943-B705-5D44C97EA76D}" destId="{BBC77876-EFB5-44F8-8A16-B01822CA96EA}" srcOrd="3" destOrd="0" presId="urn:microsoft.com/office/officeart/2005/8/layout/hProcess4"/>
    <dgm:cxn modelId="{348DB9CA-27B2-4733-AA09-0F7DBC81FB8B}" type="presParOf" srcId="{7FA15BCB-2EAF-4943-B705-5D44C97EA76D}" destId="{5A1E9E2F-7995-45C7-A523-D83FDC723F87}" srcOrd="4" destOrd="0" presId="urn:microsoft.com/office/officeart/2005/8/layout/hProcess4"/>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Group 1"/>
      <dsp:cNvGrpSpPr/>
    </dsp:nvGrpSpPr>
    <dsp:grpSpPr>
      <a:xfrm>
        <a:off x="0" y="0"/>
        <a:ext cx="5902325" cy="2743200"/>
        <a:chOff x="0" y="0"/>
        <a:chExt cx="5902325" cy="2743200"/>
      </a:xfrm>
    </dsp:grpSpPr>
    <dsp:sp modelId="{E29F2250-3A6E-46B8-8D97-F9C22F244A77}">
      <dsp:nvSpPr>
        <dsp:cNvPr id="4" name="Rounded Rectangle 3"/>
        <dsp:cNvSpPr/>
      </dsp:nvSpPr>
      <dsp:spPr bwMode="white">
        <a:xfrm>
          <a:off x="0" y="826433"/>
          <a:ext cx="926257" cy="763969"/>
        </a:xfrm>
        <a:prstGeom prst="roundRect">
          <a:avLst>
            <a:gd name="adj" fmla="val 10000"/>
          </a:avLst>
        </a:prstGeom>
      </dsp:spPr>
      <dsp:style>
        <a:lnRef idx="2">
          <a:schemeClr val="accent1"/>
        </a:lnRef>
        <a:fillRef idx="1">
          <a:schemeClr val="lt1">
            <a:alpha val="90000"/>
          </a:schemeClr>
        </a:fillRef>
        <a:effectRef idx="0">
          <a:scrgbClr r="0" g="0" b="0"/>
        </a:effectRef>
        <a:fontRef idx="minor"/>
      </dsp:style>
      <dsp:txBody>
        <a:bodyPr lIns="9525" tIns="9525" rIns="9525" bIns="9525" anchor="t"/>
        <a:lstStyle>
          <a:lvl1pPr algn="l">
            <a:defRPr sz="500"/>
          </a:lvl1pPr>
          <a:lvl2pPr marL="57150" indent="-57150" algn="l">
            <a:defRPr sz="500"/>
          </a:lvl2pPr>
          <a:lvl3pPr marL="114300" indent="-57150" algn="l">
            <a:defRPr sz="500"/>
          </a:lvl3pPr>
          <a:lvl4pPr marL="171450" indent="-57150" algn="l">
            <a:defRPr sz="500"/>
          </a:lvl4pPr>
          <a:lvl5pPr marL="228600" indent="-57150" algn="l">
            <a:defRPr sz="500"/>
          </a:lvl5pPr>
          <a:lvl6pPr marL="285750" indent="-57150" algn="l">
            <a:defRPr sz="500"/>
          </a:lvl6pPr>
          <a:lvl7pPr marL="342900" indent="-57150" algn="l">
            <a:defRPr sz="500"/>
          </a:lvl7pPr>
          <a:lvl8pPr marL="400050" indent="-57150" algn="l">
            <a:defRPr sz="500"/>
          </a:lvl8pPr>
          <a:lvl9pPr marL="457200" indent="-57150" algn="l">
            <a:defRPr sz="500"/>
          </a:lvl9pPr>
        </a:lstStyle>
        <a:p>
          <a:pPr lvl="1">
            <a:lnSpc>
              <a:spcPct val="100000"/>
            </a:lnSpc>
            <a:spcBef>
              <a:spcPct val="0"/>
            </a:spcBef>
            <a:spcAft>
              <a:spcPct val="15000"/>
            </a:spcAft>
            <a:buChar char="•"/>
          </a:pPr>
          <a:r>
            <a:rPr lang="en-US" b="1">
              <a:solidFill>
                <a:schemeClr val="dk1"/>
              </a:solidFill>
            </a:rPr>
            <a:t>Educator Competencies</a:t>
          </a:r>
          <a:br>
            <a:rPr lang="en-US">
              <a:solidFill>
                <a:schemeClr val="dk1"/>
              </a:solidFill>
            </a:rPr>
          </a:br>
          <a:r>
            <a:rPr lang="en-US">
              <a:solidFill>
                <a:schemeClr val="dk1"/>
              </a:solidFill>
            </a:rPr>
            <a:t>▸ Digital literacy</a:t>
          </a:r>
          <a:br>
            <a:rPr lang="en-US">
              <a:solidFill>
                <a:schemeClr val="dk1"/>
              </a:solidFill>
            </a:rPr>
          </a:br>
          <a:r>
            <a:rPr lang="en-US">
              <a:solidFill>
                <a:schemeClr val="dk1"/>
              </a:solidFill>
            </a:rPr>
            <a:t>▸ Pedagogical skills</a:t>
          </a:r>
          <a:br>
            <a:rPr lang="en-US">
              <a:solidFill>
                <a:schemeClr val="dk1"/>
              </a:solidFill>
            </a:rPr>
          </a:br>
          <a:r>
            <a:rPr lang="en-US">
              <a:solidFill>
                <a:schemeClr val="dk1"/>
              </a:solidFill>
            </a:rPr>
            <a:t>▸ Interdisciplinary knowledge</a:t>
          </a:r>
          <a:endParaRPr lang="en-US">
            <a:solidFill>
              <a:schemeClr val="dk1"/>
            </a:solidFill>
          </a:endParaRPr>
        </a:p>
        <a:p>
          <a:pPr lvl="1">
            <a:lnSpc>
              <a:spcPct val="100000"/>
            </a:lnSpc>
            <a:spcBef>
              <a:spcPct val="0"/>
            </a:spcBef>
            <a:spcAft>
              <a:spcPct val="15000"/>
            </a:spcAft>
            <a:buChar char="•"/>
          </a:pPr>
          <a:r>
            <a:rPr lang="en-US" b="1">
              <a:solidFill>
                <a:schemeClr val="dk1"/>
              </a:solidFill>
            </a:rPr>
            <a:t>Institutional Factors</a:t>
          </a:r>
          <a:br>
            <a:rPr lang="en-US">
              <a:solidFill>
                <a:schemeClr val="dk1"/>
              </a:solidFill>
            </a:rPr>
          </a:br>
          <a:r>
            <a:rPr lang="en-US">
              <a:solidFill>
                <a:schemeClr val="dk1"/>
              </a:solidFill>
            </a:rPr>
            <a:t>▸ Curriculum alignment</a:t>
          </a:r>
          <a:br>
            <a:rPr lang="en-US">
              <a:solidFill>
                <a:schemeClr val="dk1"/>
              </a:solidFill>
            </a:rPr>
          </a:br>
          <a:r>
            <a:rPr lang="en-US">
              <a:solidFill>
                <a:schemeClr val="dk1"/>
              </a:solidFill>
            </a:rPr>
            <a:t>▸ Infrastructure</a:t>
          </a:r>
          <a:br>
            <a:rPr lang="en-US">
              <a:solidFill>
                <a:schemeClr val="dk1"/>
              </a:solidFill>
            </a:rPr>
          </a:br>
          <a:r>
            <a:rPr lang="en-US" b="1">
              <a:solidFill>
                <a:schemeClr val="dk1"/>
              </a:solidFill>
            </a:rPr>
            <a:t>External Factors</a:t>
          </a:r>
          <a:br>
            <a:rPr lang="en-US">
              <a:solidFill>
                <a:schemeClr val="dk1"/>
              </a:solidFill>
            </a:rPr>
          </a:br>
          <a:r>
            <a:rPr lang="en-US">
              <a:solidFill>
                <a:schemeClr val="dk1"/>
              </a:solidFill>
            </a:rPr>
            <a:t>▸ Industry collaboration</a:t>
          </a:r>
          <a:br>
            <a:rPr lang="en-US">
              <a:solidFill>
                <a:schemeClr val="dk1"/>
              </a:solidFill>
            </a:rPr>
          </a:br>
          <a:r>
            <a:rPr lang="en-US">
              <a:solidFill>
                <a:schemeClr val="dk1"/>
              </a:solidFill>
            </a:rPr>
            <a:t>▸ Professional development access</a:t>
          </a:r>
          <a:br>
            <a:rPr lang="en-US">
              <a:solidFill>
                <a:schemeClr val="dk1"/>
              </a:solidFill>
            </a:rPr>
          </a:br>
          <a:r>
            <a:rPr lang="en-US">
              <a:solidFill>
                <a:schemeClr val="dk1"/>
              </a:solidFill>
            </a:rPr>
            <a:t>▸ Funding and policy backing▸ Administrative support</a:t>
          </a:r>
          <a:endParaRPr lang="en-US">
            <a:solidFill>
              <a:schemeClr val="dk1"/>
            </a:solidFill>
          </a:endParaRPr>
        </a:p>
        <a:p>
          <a:pPr lvl="1">
            <a:lnSpc>
              <a:spcPct val="100000"/>
            </a:lnSpc>
            <a:spcBef>
              <a:spcPct val="0"/>
            </a:spcBef>
            <a:spcAft>
              <a:spcPct val="15000"/>
            </a:spcAft>
            <a:buChar char="•"/>
          </a:pPr>
          <a:endParaRPr lang="en-US">
            <a:solidFill>
              <a:schemeClr val="dk1"/>
            </a:solidFill>
          </a:endParaRPr>
        </a:p>
        <a:p>
          <a:pPr lvl="1">
            <a:lnSpc>
              <a:spcPct val="100000"/>
            </a:lnSpc>
            <a:spcBef>
              <a:spcPct val="0"/>
            </a:spcBef>
            <a:spcAft>
              <a:spcPct val="15000"/>
            </a:spcAft>
            <a:buChar char="•"/>
          </a:pPr>
          <a:endParaRPr lang="en-US">
            <a:solidFill>
              <a:schemeClr val="dk1"/>
            </a:solidFill>
          </a:endParaRPr>
        </a:p>
      </dsp:txBody>
      <dsp:txXfrm>
        <a:off x="0" y="826433"/>
        <a:ext cx="926257" cy="763969"/>
      </dsp:txXfrm>
    </dsp:sp>
    <dsp:sp modelId="{7E36F1CE-3E14-44DE-BBBD-7BEFCEAC0179}">
      <dsp:nvSpPr>
        <dsp:cNvPr id="6" name="Shape 5"/>
        <dsp:cNvSpPr/>
      </dsp:nvSpPr>
      <dsp:spPr bwMode="white">
        <a:xfrm>
          <a:off x="255785" y="908055"/>
          <a:ext cx="1311199" cy="1311199"/>
        </a:xfrm>
        <a:prstGeom prst="leftCircularArrow">
          <a:avLst>
            <a:gd name="adj1" fmla="val 5000"/>
            <a:gd name="adj2" fmla="val -360000"/>
            <a:gd name="adj3" fmla="val 2161702"/>
            <a:gd name="adj4" fmla="val 9050681"/>
            <a:gd name="adj5" fmla="val 5500"/>
          </a:avLst>
        </a:prstGeom>
      </dsp:spPr>
      <dsp:style>
        <a:lnRef idx="0">
          <a:schemeClr val="accent1">
            <a:tint val="60000"/>
          </a:schemeClr>
        </a:lnRef>
        <a:fillRef idx="1">
          <a:schemeClr val="accent1">
            <a:tint val="60000"/>
          </a:schemeClr>
        </a:fillRef>
        <a:effectRef idx="0">
          <a:scrgbClr r="0" g="0" b="0"/>
        </a:effectRef>
        <a:fontRef idx="minor">
          <a:schemeClr val="lt1"/>
        </a:fontRef>
      </dsp:style>
      <dsp:txXfrm>
        <a:off x="255785" y="908055"/>
        <a:ext cx="1311199" cy="1311199"/>
      </dsp:txXfrm>
    </dsp:sp>
    <dsp:sp modelId="{DA93DA49-644D-4597-B23C-9243DE60C7E6}">
      <dsp:nvSpPr>
        <dsp:cNvPr id="5" name="Rounded Rectangle 4"/>
        <dsp:cNvSpPr/>
      </dsp:nvSpPr>
      <dsp:spPr bwMode="white">
        <a:xfrm>
          <a:off x="36466" y="1450647"/>
          <a:ext cx="823340" cy="327415"/>
        </a:xfrm>
        <a:prstGeom prst="roundRect">
          <a:avLst>
            <a:gd name="adj" fmla="val 10000"/>
          </a:avLst>
        </a:prstGeom>
      </dsp:spPr>
      <dsp:style>
        <a:lnRef idx="2">
          <a:schemeClr val="lt1"/>
        </a:lnRef>
        <a:fillRef idx="1">
          <a:schemeClr val="accent1"/>
        </a:fillRef>
        <a:effectRef idx="0">
          <a:scrgbClr r="0" g="0" b="0"/>
        </a:effectRef>
        <a:fontRef idx="minor">
          <a:schemeClr val="lt1"/>
        </a:fontRef>
      </dsp:style>
      <dsp:txBody>
        <a:bodyPr lIns="24765" tIns="16510" rIns="24765" bIns="16510" anchor="ctr"/>
        <a:lstStyle>
          <a:lvl1pPr algn="ctr">
            <a:defRPr sz="13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en-US"/>
            <a:t>INPUTS</a:t>
          </a:r>
        </a:p>
      </dsp:txBody>
      <dsp:txXfrm>
        <a:off x="36466" y="1450647"/>
        <a:ext cx="823340" cy="327415"/>
      </dsp:txXfrm>
    </dsp:sp>
    <dsp:sp modelId="{E1BD5D8C-328E-4FCF-827A-DD4291542404}">
      <dsp:nvSpPr>
        <dsp:cNvPr id="8" name="Rounded Rectangle 7"/>
        <dsp:cNvSpPr/>
      </dsp:nvSpPr>
      <dsp:spPr bwMode="white">
        <a:xfrm>
          <a:off x="1197103" y="802551"/>
          <a:ext cx="981833" cy="809807"/>
        </a:xfrm>
        <a:prstGeom prst="roundRect">
          <a:avLst>
            <a:gd name="adj" fmla="val 10000"/>
          </a:avLst>
        </a:prstGeom>
      </dsp:spPr>
      <dsp:style>
        <a:lnRef idx="2">
          <a:schemeClr val="accent1"/>
        </a:lnRef>
        <a:fillRef idx="1">
          <a:schemeClr val="lt1">
            <a:alpha val="90000"/>
          </a:schemeClr>
        </a:fillRef>
        <a:effectRef idx="0">
          <a:scrgbClr r="0" g="0" b="0"/>
        </a:effectRef>
        <a:fontRef idx="minor"/>
      </dsp:style>
      <dsp:txBody>
        <a:bodyPr lIns="9525" tIns="9525" rIns="9525" bIns="9525" anchor="t"/>
        <a:lstStyle>
          <a:lvl1pPr algn="l">
            <a:defRPr sz="500"/>
          </a:lvl1pPr>
          <a:lvl2pPr marL="57150" indent="-57150" algn="l">
            <a:defRPr sz="500"/>
          </a:lvl2pPr>
          <a:lvl3pPr marL="114300" indent="-57150" algn="l">
            <a:defRPr sz="500"/>
          </a:lvl3pPr>
          <a:lvl4pPr marL="171450" indent="-57150" algn="l">
            <a:defRPr sz="500"/>
          </a:lvl4pPr>
          <a:lvl5pPr marL="228600" indent="-57150" algn="l">
            <a:defRPr sz="500"/>
          </a:lvl5pPr>
          <a:lvl6pPr marL="285750" indent="-57150" algn="l">
            <a:defRPr sz="500"/>
          </a:lvl6pPr>
          <a:lvl7pPr marL="342900" indent="-57150" algn="l">
            <a:defRPr sz="500"/>
          </a:lvl7pPr>
          <a:lvl8pPr marL="400050" indent="-57150" algn="l">
            <a:defRPr sz="500"/>
          </a:lvl8pPr>
          <a:lvl9pPr marL="457200" indent="-57150" algn="l">
            <a:defRPr sz="500"/>
          </a:lvl9pPr>
        </a:lstStyle>
        <a:p>
          <a:pPr lvl="1">
            <a:lnSpc>
              <a:spcPct val="100000"/>
            </a:lnSpc>
            <a:spcBef>
              <a:spcPct val="0"/>
            </a:spcBef>
            <a:spcAft>
              <a:spcPct val="15000"/>
            </a:spcAft>
            <a:buChar char="•"/>
          </a:pPr>
          <a:r>
            <a:rPr lang="en-US">
              <a:solidFill>
                <a:schemeClr val="dk1"/>
              </a:solidFill>
            </a:rPr>
            <a:t>Professional development programs</a:t>
          </a:r>
          <a:endParaRPr lang="en-US">
            <a:solidFill>
              <a:schemeClr val="dk1"/>
            </a:solidFill>
          </a:endParaRPr>
        </a:p>
        <a:p>
          <a:pPr lvl="1">
            <a:lnSpc>
              <a:spcPct val="100000"/>
            </a:lnSpc>
            <a:spcBef>
              <a:spcPct val="0"/>
            </a:spcBef>
            <a:spcAft>
              <a:spcPct val="15000"/>
            </a:spcAft>
            <a:buChar char="•"/>
          </a:pPr>
          <a:r>
            <a:rPr lang="en-US">
              <a:solidFill>
                <a:schemeClr val="dk1"/>
              </a:solidFill>
            </a:rPr>
            <a:t>Competency-based curriculum redesign</a:t>
          </a:r>
          <a:endParaRPr lang="en-US">
            <a:solidFill>
              <a:schemeClr val="dk1"/>
            </a:solidFill>
          </a:endParaRPr>
        </a:p>
        <a:p>
          <a:pPr lvl="1">
            <a:lnSpc>
              <a:spcPct val="100000"/>
            </a:lnSpc>
            <a:spcBef>
              <a:spcPct val="0"/>
            </a:spcBef>
            <a:spcAft>
              <a:spcPct val="15000"/>
            </a:spcAft>
            <a:buChar char="•"/>
          </a:pPr>
          <a:r>
            <a:rPr lang="en-US">
              <a:solidFill>
                <a:schemeClr val="dk1"/>
              </a:solidFill>
            </a:rPr>
            <a:t>Hands-on training and industry immersion</a:t>
          </a:r>
          <a:endParaRPr lang="en-US">
            <a:solidFill>
              <a:schemeClr val="dk1"/>
            </a:solidFill>
          </a:endParaRPr>
        </a:p>
        <a:p>
          <a:pPr lvl="1">
            <a:lnSpc>
              <a:spcPct val="100000"/>
            </a:lnSpc>
            <a:spcBef>
              <a:spcPct val="0"/>
            </a:spcBef>
            <a:spcAft>
              <a:spcPct val="15000"/>
            </a:spcAft>
            <a:buChar char="•"/>
          </a:pPr>
          <a:r>
            <a:rPr lang="en-US">
              <a:solidFill>
                <a:schemeClr val="dk1"/>
              </a:solidFill>
            </a:rPr>
            <a:t>Institutional change management strategies</a:t>
          </a:r>
          <a:endParaRPr>
            <a:solidFill>
              <a:schemeClr val="dk1"/>
            </a:solidFill>
          </a:endParaRPr>
        </a:p>
      </dsp:txBody>
      <dsp:txXfrm>
        <a:off x="1197103" y="802551"/>
        <a:ext cx="981833" cy="809807"/>
      </dsp:txXfrm>
    </dsp:sp>
    <dsp:sp modelId="{A891854A-7A4C-4ADB-9F39-B4CEB0844E76}">
      <dsp:nvSpPr>
        <dsp:cNvPr id="10" name="Circular Arrow 9"/>
        <dsp:cNvSpPr/>
      </dsp:nvSpPr>
      <dsp:spPr bwMode="white">
        <a:xfrm>
          <a:off x="1672646" y="181922"/>
          <a:ext cx="1542177" cy="1542177"/>
        </a:xfrm>
        <a:prstGeom prst="circularArrow">
          <a:avLst>
            <a:gd name="adj1" fmla="val 5000"/>
            <a:gd name="adj2" fmla="val 360000"/>
            <a:gd name="adj3" fmla="val 20830674"/>
            <a:gd name="adj4" fmla="val 13941696"/>
            <a:gd name="adj5" fmla="val 5500"/>
          </a:avLst>
        </a:prstGeom>
      </dsp:spPr>
      <dsp:style>
        <a:lnRef idx="0">
          <a:schemeClr val="accent1">
            <a:tint val="60000"/>
          </a:schemeClr>
        </a:lnRef>
        <a:fillRef idx="1">
          <a:schemeClr val="accent1">
            <a:tint val="60000"/>
          </a:schemeClr>
        </a:fillRef>
        <a:effectRef idx="0">
          <a:scrgbClr r="0" g="0" b="0"/>
        </a:effectRef>
        <a:fontRef idx="minor">
          <a:schemeClr val="lt1"/>
        </a:fontRef>
      </dsp:style>
      <dsp:txXfrm>
        <a:off x="1672646" y="181922"/>
        <a:ext cx="1542177" cy="1542177"/>
      </dsp:txXfrm>
    </dsp:sp>
    <dsp:sp modelId="{410AF7CE-A43A-4175-ABD1-D8DCE226514F}">
      <dsp:nvSpPr>
        <dsp:cNvPr id="9" name="Rounded Rectangle 8"/>
        <dsp:cNvSpPr/>
      </dsp:nvSpPr>
      <dsp:spPr bwMode="white">
        <a:xfrm>
          <a:off x="1251585" y="358327"/>
          <a:ext cx="872740" cy="347060"/>
        </a:xfrm>
        <a:prstGeom prst="roundRect">
          <a:avLst>
            <a:gd name="adj" fmla="val 10000"/>
          </a:avLst>
        </a:prstGeom>
      </dsp:spPr>
      <dsp:style>
        <a:lnRef idx="2">
          <a:schemeClr val="lt1"/>
        </a:lnRef>
        <a:fillRef idx="1">
          <a:schemeClr val="accent1"/>
        </a:fillRef>
        <a:effectRef idx="0">
          <a:scrgbClr r="0" g="0" b="0"/>
        </a:effectRef>
        <a:fontRef idx="minor">
          <a:schemeClr val="lt1"/>
        </a:fontRef>
      </dsp:style>
      <dsp:txBody>
        <a:bodyPr lIns="24765" tIns="16510" rIns="24765" bIns="16510" anchor="ctr"/>
        <a:lstStyle>
          <a:lvl1pPr algn="ctr">
            <a:defRPr sz="13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en-US"/>
            <a:t>PROCESS</a:t>
          </a:r>
        </a:p>
      </dsp:txBody>
      <dsp:txXfrm>
        <a:off x="1251585" y="358327"/>
        <a:ext cx="872740" cy="347060"/>
      </dsp:txXfrm>
    </dsp:sp>
    <dsp:sp modelId="{61833819-8A37-42DB-88F2-006B7656936A}">
      <dsp:nvSpPr>
        <dsp:cNvPr id="12" name="Rounded Rectangle 11"/>
        <dsp:cNvSpPr/>
      </dsp:nvSpPr>
      <dsp:spPr bwMode="white">
        <a:xfrm>
          <a:off x="2436575" y="989616"/>
          <a:ext cx="926257" cy="763969"/>
        </a:xfrm>
        <a:prstGeom prst="roundRect">
          <a:avLst>
            <a:gd name="adj" fmla="val 10000"/>
          </a:avLst>
        </a:prstGeom>
      </dsp:spPr>
      <dsp:style>
        <a:lnRef idx="2">
          <a:schemeClr val="accent1"/>
        </a:lnRef>
        <a:fillRef idx="1">
          <a:schemeClr val="lt1">
            <a:alpha val="90000"/>
          </a:schemeClr>
        </a:fillRef>
        <a:effectRef idx="0">
          <a:scrgbClr r="0" g="0" b="0"/>
        </a:effectRef>
        <a:fontRef idx="minor"/>
      </dsp:style>
      <dsp:txBody>
        <a:bodyPr lIns="9525" tIns="9525" rIns="9525" bIns="9525" anchor="t"/>
        <a:lstStyle>
          <a:lvl1pPr algn="l">
            <a:defRPr sz="500"/>
          </a:lvl1pPr>
          <a:lvl2pPr marL="57150" indent="-57150" algn="l">
            <a:defRPr sz="500"/>
          </a:lvl2pPr>
          <a:lvl3pPr marL="114300" indent="-57150" algn="l">
            <a:defRPr sz="500"/>
          </a:lvl3pPr>
          <a:lvl4pPr marL="171450" indent="-57150" algn="l">
            <a:defRPr sz="500"/>
          </a:lvl4pPr>
          <a:lvl5pPr marL="228600" indent="-57150" algn="l">
            <a:defRPr sz="500"/>
          </a:lvl5pPr>
          <a:lvl6pPr marL="285750" indent="-57150" algn="l">
            <a:defRPr sz="500"/>
          </a:lvl6pPr>
          <a:lvl7pPr marL="342900" indent="-57150" algn="l">
            <a:defRPr sz="500"/>
          </a:lvl7pPr>
          <a:lvl8pPr marL="400050" indent="-57150" algn="l">
            <a:defRPr sz="500"/>
          </a:lvl8pPr>
          <a:lvl9pPr marL="457200" indent="-57150" algn="l">
            <a:defRPr sz="500"/>
          </a:lvl9pPr>
        </a:lstStyle>
        <a:p>
          <a:pPr lvl="1">
            <a:lnSpc>
              <a:spcPct val="100000"/>
            </a:lnSpc>
            <a:spcBef>
              <a:spcPct val="0"/>
            </a:spcBef>
            <a:spcAft>
              <a:spcPct val="15000"/>
            </a:spcAft>
            <a:buChar char="•"/>
          </a:pPr>
          <a:r>
            <a:rPr lang="en-US">
              <a:solidFill>
                <a:schemeClr val="dk1"/>
              </a:solidFill>
            </a:rPr>
            <a:t>Improved educator competencies</a:t>
          </a:r>
          <a:endParaRPr lang="en-US">
            <a:solidFill>
              <a:schemeClr val="dk1"/>
            </a:solidFill>
          </a:endParaRPr>
        </a:p>
        <a:p>
          <a:pPr lvl="1">
            <a:lnSpc>
              <a:spcPct val="100000"/>
            </a:lnSpc>
            <a:spcBef>
              <a:spcPct val="0"/>
            </a:spcBef>
            <a:spcAft>
              <a:spcPct val="15000"/>
            </a:spcAft>
            <a:buChar char="•"/>
          </a:pPr>
          <a:r>
            <a:rPr lang="en-US">
              <a:solidFill>
                <a:schemeClr val="dk1"/>
              </a:solidFill>
            </a:rPr>
            <a:t>Integration of Industry 4.0 tools into teaching</a:t>
          </a:r>
          <a:endParaRPr lang="en-US">
            <a:solidFill>
              <a:schemeClr val="dk1"/>
            </a:solidFill>
          </a:endParaRPr>
        </a:p>
        <a:p>
          <a:pPr lvl="1">
            <a:lnSpc>
              <a:spcPct val="100000"/>
            </a:lnSpc>
            <a:spcBef>
              <a:spcPct val="0"/>
            </a:spcBef>
            <a:spcAft>
              <a:spcPct val="15000"/>
            </a:spcAft>
            <a:buChar char="•"/>
          </a:pPr>
          <a:r>
            <a:rPr lang="en-US">
              <a:solidFill>
                <a:schemeClr val="dk1"/>
              </a:solidFill>
            </a:rPr>
            <a:t>Modernized and relevant curricula</a:t>
          </a:r>
          <a:endParaRPr>
            <a:solidFill>
              <a:schemeClr val="dk1"/>
            </a:solidFill>
          </a:endParaRPr>
        </a:p>
      </dsp:txBody>
      <dsp:txXfrm>
        <a:off x="2436575" y="989616"/>
        <a:ext cx="926257" cy="763969"/>
      </dsp:txXfrm>
    </dsp:sp>
    <dsp:sp modelId="{30469B7E-04E9-459E-AEA1-1FE9DE35CB56}">
      <dsp:nvSpPr>
        <dsp:cNvPr id="14" name="Shape 13"/>
        <dsp:cNvSpPr/>
      </dsp:nvSpPr>
      <dsp:spPr bwMode="white">
        <a:xfrm>
          <a:off x="2816062" y="954406"/>
          <a:ext cx="1274742" cy="1274742"/>
        </a:xfrm>
        <a:prstGeom prst="leftCircularArrow">
          <a:avLst>
            <a:gd name="adj1" fmla="val 5000"/>
            <a:gd name="adj2" fmla="val -360000"/>
            <a:gd name="adj3" fmla="val 2676151"/>
            <a:gd name="adj4" fmla="val 9565130"/>
            <a:gd name="adj5" fmla="val 5500"/>
          </a:avLst>
        </a:prstGeom>
      </dsp:spPr>
      <dsp:style>
        <a:lnRef idx="0">
          <a:schemeClr val="accent1">
            <a:tint val="60000"/>
          </a:schemeClr>
        </a:lnRef>
        <a:fillRef idx="1">
          <a:schemeClr val="accent1">
            <a:tint val="60000"/>
          </a:schemeClr>
        </a:fillRef>
        <a:effectRef idx="0">
          <a:scrgbClr r="0" g="0" b="0"/>
        </a:effectRef>
        <a:fontRef idx="minor">
          <a:schemeClr val="lt1"/>
        </a:fontRef>
      </dsp:style>
      <dsp:txXfrm>
        <a:off x="2816062" y="954406"/>
        <a:ext cx="1274742" cy="1274742"/>
      </dsp:txXfrm>
    </dsp:sp>
    <dsp:sp modelId="{9E998301-A1A2-4001-A7DF-5F4B8D7F46CB}">
      <dsp:nvSpPr>
        <dsp:cNvPr id="13" name="Rounded Rectangle 12"/>
        <dsp:cNvSpPr/>
      </dsp:nvSpPr>
      <dsp:spPr bwMode="white">
        <a:xfrm>
          <a:off x="2504204" y="1466215"/>
          <a:ext cx="823340" cy="327415"/>
        </a:xfrm>
        <a:prstGeom prst="roundRect">
          <a:avLst>
            <a:gd name="adj" fmla="val 10000"/>
          </a:avLst>
        </a:prstGeom>
      </dsp:spPr>
      <dsp:style>
        <a:lnRef idx="2">
          <a:schemeClr val="lt1"/>
        </a:lnRef>
        <a:fillRef idx="1">
          <a:schemeClr val="accent1"/>
        </a:fillRef>
        <a:effectRef idx="0">
          <a:scrgbClr r="0" g="0" b="0"/>
        </a:effectRef>
        <a:fontRef idx="minor">
          <a:schemeClr val="lt1"/>
        </a:fontRef>
      </dsp:style>
      <dsp:txBody>
        <a:bodyPr lIns="24765" tIns="16510" rIns="24765" bIns="16510" anchor="ctr"/>
        <a:lstStyle>
          <a:lvl1pPr algn="ctr">
            <a:defRPr sz="13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en-US"/>
            <a:t>OUTPUTS</a:t>
          </a:r>
        </a:p>
      </dsp:txBody>
      <dsp:txXfrm>
        <a:off x="2504204" y="1466215"/>
        <a:ext cx="823340" cy="327415"/>
      </dsp:txXfrm>
    </dsp:sp>
    <dsp:sp modelId="{25F42CF6-96E5-4CB7-AFD9-9FECF499AABD}">
      <dsp:nvSpPr>
        <dsp:cNvPr id="16" name="Rounded Rectangle 15"/>
        <dsp:cNvSpPr/>
      </dsp:nvSpPr>
      <dsp:spPr bwMode="white">
        <a:xfrm>
          <a:off x="3623987" y="966697"/>
          <a:ext cx="981833" cy="809807"/>
        </a:xfrm>
        <a:prstGeom prst="roundRect">
          <a:avLst>
            <a:gd name="adj" fmla="val 10000"/>
          </a:avLst>
        </a:prstGeom>
      </dsp:spPr>
      <dsp:style>
        <a:lnRef idx="2">
          <a:schemeClr val="accent1"/>
        </a:lnRef>
        <a:fillRef idx="1">
          <a:schemeClr val="lt1">
            <a:alpha val="90000"/>
          </a:schemeClr>
        </a:fillRef>
        <a:effectRef idx="0">
          <a:scrgbClr r="0" g="0" b="0"/>
        </a:effectRef>
        <a:fontRef idx="minor"/>
      </dsp:style>
      <dsp:txBody>
        <a:bodyPr lIns="9525" tIns="9525" rIns="9525" bIns="9525" anchor="t"/>
        <a:lstStyle>
          <a:lvl1pPr algn="l">
            <a:defRPr sz="500"/>
          </a:lvl1pPr>
          <a:lvl2pPr marL="57150" indent="-57150" algn="l">
            <a:defRPr sz="500"/>
          </a:lvl2pPr>
          <a:lvl3pPr marL="114300" indent="-57150" algn="l">
            <a:defRPr sz="500"/>
          </a:lvl3pPr>
          <a:lvl4pPr marL="171450" indent="-57150" algn="l">
            <a:defRPr sz="500"/>
          </a:lvl4pPr>
          <a:lvl5pPr marL="228600" indent="-57150" algn="l">
            <a:defRPr sz="500"/>
          </a:lvl5pPr>
          <a:lvl6pPr marL="285750" indent="-57150" algn="l">
            <a:defRPr sz="500"/>
          </a:lvl6pPr>
          <a:lvl7pPr marL="342900" indent="-57150" algn="l">
            <a:defRPr sz="500"/>
          </a:lvl7pPr>
          <a:lvl8pPr marL="400050" indent="-57150" algn="l">
            <a:defRPr sz="500"/>
          </a:lvl8pPr>
          <a:lvl9pPr marL="457200" indent="-57150" algn="l">
            <a:defRPr sz="500"/>
          </a:lvl9pPr>
        </a:lstStyle>
        <a:p>
          <a:pPr lvl="1">
            <a:lnSpc>
              <a:spcPct val="100000"/>
            </a:lnSpc>
            <a:spcBef>
              <a:spcPct val="0"/>
            </a:spcBef>
            <a:spcAft>
              <a:spcPct val="15000"/>
            </a:spcAft>
            <a:buChar char="•"/>
          </a:pPr>
          <a:r>
            <a:rPr lang="en-US">
              <a:solidFill>
                <a:schemeClr val="dk1"/>
              </a:solidFill>
            </a:rPr>
            <a:t>Industry-ready TVET graduates</a:t>
          </a:r>
          <a:endParaRPr lang="en-US">
            <a:solidFill>
              <a:schemeClr val="dk1"/>
            </a:solidFill>
          </a:endParaRPr>
        </a:p>
        <a:p>
          <a:pPr lvl="1">
            <a:lnSpc>
              <a:spcPct val="100000"/>
            </a:lnSpc>
            <a:spcBef>
              <a:spcPct val="0"/>
            </a:spcBef>
            <a:spcAft>
              <a:spcPct val="15000"/>
            </a:spcAft>
            <a:buChar char="•"/>
          </a:pPr>
          <a:r>
            <a:rPr lang="en-US">
              <a:solidFill>
                <a:schemeClr val="dk1"/>
              </a:solidFill>
            </a:rPr>
            <a:t>Higher employability rates</a:t>
          </a:r>
          <a:endParaRPr lang="en-US">
            <a:solidFill>
              <a:schemeClr val="dk1"/>
            </a:solidFill>
          </a:endParaRPr>
        </a:p>
        <a:p>
          <a:pPr lvl="1">
            <a:lnSpc>
              <a:spcPct val="100000"/>
            </a:lnSpc>
            <a:spcBef>
              <a:spcPct val="0"/>
            </a:spcBef>
            <a:spcAft>
              <a:spcPct val="15000"/>
            </a:spcAft>
            <a:buChar char="•"/>
          </a:pPr>
          <a:r>
            <a:rPr lang="en-US">
              <a:solidFill>
                <a:schemeClr val="dk1"/>
              </a:solidFill>
            </a:rPr>
            <a:t>Strengthened national workforce competitiveness</a:t>
          </a:r>
          <a:endParaRPr>
            <a:solidFill>
              <a:schemeClr val="dk1"/>
            </a:solidFill>
          </a:endParaRPr>
        </a:p>
      </dsp:txBody>
      <dsp:txXfrm>
        <a:off x="3623987" y="966697"/>
        <a:ext cx="981833" cy="809807"/>
      </dsp:txXfrm>
    </dsp:sp>
    <dsp:sp modelId="{F4F5CCE9-4A36-4E99-814A-8C68CD86E39D}">
      <dsp:nvSpPr>
        <dsp:cNvPr id="18" name="Circular Arrow 17"/>
        <dsp:cNvSpPr/>
      </dsp:nvSpPr>
      <dsp:spPr bwMode="white">
        <a:xfrm>
          <a:off x="4255123" y="438761"/>
          <a:ext cx="1437149" cy="1437149"/>
        </a:xfrm>
        <a:prstGeom prst="circularArrow">
          <a:avLst>
            <a:gd name="adj1" fmla="val 5000"/>
            <a:gd name="adj2" fmla="val 360000"/>
            <a:gd name="adj3" fmla="val 19753160"/>
            <a:gd name="adj4" fmla="val 12864182"/>
            <a:gd name="adj5" fmla="val 5500"/>
          </a:avLst>
        </a:prstGeom>
      </dsp:spPr>
      <dsp:style>
        <a:lnRef idx="0">
          <a:schemeClr val="accent1">
            <a:tint val="60000"/>
          </a:schemeClr>
        </a:lnRef>
        <a:fillRef idx="1">
          <a:schemeClr val="accent1">
            <a:tint val="60000"/>
          </a:schemeClr>
        </a:fillRef>
        <a:effectRef idx="0">
          <a:scrgbClr r="0" g="0" b="0"/>
        </a:effectRef>
        <a:fontRef idx="minor">
          <a:schemeClr val="lt1"/>
        </a:fontRef>
      </dsp:style>
      <dsp:txXfrm>
        <a:off x="4255123" y="438761"/>
        <a:ext cx="1437149" cy="1437149"/>
      </dsp:txXfrm>
    </dsp:sp>
    <dsp:sp modelId="{DC67DB75-E3E5-4990-B776-27D3006980E6}">
      <dsp:nvSpPr>
        <dsp:cNvPr id="17" name="Rounded Rectangle 16"/>
        <dsp:cNvSpPr/>
      </dsp:nvSpPr>
      <dsp:spPr bwMode="white">
        <a:xfrm>
          <a:off x="3680253" y="731480"/>
          <a:ext cx="872740" cy="347060"/>
        </a:xfrm>
        <a:prstGeom prst="roundRect">
          <a:avLst>
            <a:gd name="adj" fmla="val 10000"/>
          </a:avLst>
        </a:prstGeom>
      </dsp:spPr>
      <dsp:style>
        <a:lnRef idx="2">
          <a:schemeClr val="lt1"/>
        </a:lnRef>
        <a:fillRef idx="1">
          <a:schemeClr val="accent1"/>
        </a:fillRef>
        <a:effectRef idx="0">
          <a:scrgbClr r="0" g="0" b="0"/>
        </a:effectRef>
        <a:fontRef idx="minor">
          <a:schemeClr val="lt1"/>
        </a:fontRef>
      </dsp:style>
      <dsp:txBody>
        <a:bodyPr lIns="24765" tIns="16510" rIns="24765" bIns="16510" anchor="ctr"/>
        <a:lstStyle>
          <a:lvl1pPr algn="ctr">
            <a:defRPr sz="13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en-US"/>
            <a:t>OUTCOMES</a:t>
          </a:r>
        </a:p>
      </dsp:txBody>
      <dsp:txXfrm>
        <a:off x="3680253" y="731480"/>
        <a:ext cx="872740" cy="347060"/>
      </dsp:txXfrm>
    </dsp:sp>
    <dsp:sp modelId="{6B4B95DE-1F93-4A95-809F-ECA4CDAEECEF}">
      <dsp:nvSpPr>
        <dsp:cNvPr id="20" name="Rounded Rectangle 19"/>
        <dsp:cNvSpPr/>
      </dsp:nvSpPr>
      <dsp:spPr bwMode="white">
        <a:xfrm>
          <a:off x="4873150" y="989616"/>
          <a:ext cx="926257" cy="763969"/>
        </a:xfrm>
        <a:prstGeom prst="roundRect">
          <a:avLst>
            <a:gd name="adj" fmla="val 10000"/>
          </a:avLst>
        </a:prstGeom>
      </dsp:spPr>
      <dsp:style>
        <a:lnRef idx="2">
          <a:schemeClr val="accent1"/>
        </a:lnRef>
        <a:fillRef idx="1">
          <a:schemeClr val="lt1">
            <a:alpha val="90000"/>
          </a:schemeClr>
        </a:fillRef>
        <a:effectRef idx="0">
          <a:scrgbClr r="0" g="0" b="0"/>
        </a:effectRef>
        <a:fontRef idx="minor"/>
      </dsp:style>
      <dsp:txBody>
        <a:bodyPr lIns="9525" tIns="9525" rIns="9525" bIns="9525" anchor="t"/>
        <a:lstStyle>
          <a:lvl1pPr algn="l">
            <a:defRPr sz="500"/>
          </a:lvl1pPr>
          <a:lvl2pPr marL="57150" indent="-57150" algn="l">
            <a:defRPr sz="400"/>
          </a:lvl2pPr>
          <a:lvl3pPr marL="114300" indent="-57150" algn="l">
            <a:defRPr sz="400"/>
          </a:lvl3pPr>
          <a:lvl4pPr marL="171450" indent="-57150" algn="l">
            <a:defRPr sz="400"/>
          </a:lvl4pPr>
          <a:lvl5pPr marL="228600" indent="-57150" algn="l">
            <a:defRPr sz="400"/>
          </a:lvl5pPr>
          <a:lvl6pPr marL="285750" indent="-57150" algn="l">
            <a:defRPr sz="400"/>
          </a:lvl6pPr>
          <a:lvl7pPr marL="342900" indent="-57150" algn="l">
            <a:defRPr sz="400"/>
          </a:lvl7pPr>
          <a:lvl8pPr marL="400050" indent="-57150" algn="l">
            <a:defRPr sz="400"/>
          </a:lvl8pPr>
          <a:lvl9pPr marL="457200" indent="-57150" algn="l">
            <a:defRPr sz="400"/>
          </a:lvl9pPr>
        </a:lstStyle>
        <a:p>
          <a:endParaRPr>
            <a:solidFill>
              <a:schemeClr val="dk1"/>
            </a:solidFill>
          </a:endParaRPr>
        </a:p>
      </dsp:txBody>
      <dsp:txXfrm>
        <a:off x="4873150" y="989616"/>
        <a:ext cx="926257" cy="763969"/>
      </dsp:txXfrm>
    </dsp:sp>
    <dsp:sp modelId="{BBC77876-EFB5-44F8-8A16-B01822CA96EA}">
      <dsp:nvSpPr>
        <dsp:cNvPr id="21" name="Rounded Rectangle 20"/>
        <dsp:cNvSpPr/>
      </dsp:nvSpPr>
      <dsp:spPr bwMode="white">
        <a:xfrm>
          <a:off x="4918953" y="1233443"/>
          <a:ext cx="823340" cy="327415"/>
        </a:xfrm>
        <a:prstGeom prst="roundRect">
          <a:avLst>
            <a:gd name="adj" fmla="val 10000"/>
          </a:avLst>
        </a:prstGeom>
      </dsp:spPr>
      <dsp:style>
        <a:lnRef idx="2">
          <a:schemeClr val="lt1"/>
        </a:lnRef>
        <a:fillRef idx="1">
          <a:schemeClr val="accent1"/>
        </a:fillRef>
        <a:effectRef idx="0">
          <a:scrgbClr r="0" g="0" b="0"/>
        </a:effectRef>
        <a:fontRef idx="minor">
          <a:schemeClr val="lt1"/>
        </a:fontRef>
      </dsp:style>
      <dsp:txBody>
        <a:bodyPr lIns="24765" tIns="16510" rIns="24765" bIns="16510" anchor="ctr"/>
        <a:lstStyle>
          <a:lvl1pPr algn="ctr">
            <a:defRPr sz="13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en-US"/>
            <a:t>FEEDBACK</a:t>
          </a:r>
        </a:p>
      </dsp:txBody>
      <dsp:txXfrm>
        <a:off x="4918953" y="1233443"/>
        <a:ext cx="823340" cy="327415"/>
      </dsp:txXfrm>
    </dsp:sp>
    <dsp:sp modelId="{539F4329-76EF-49A8-B6F7-901AF034FB2A}">
      <dsp:nvSpPr>
        <dsp:cNvPr id="3" name="Rectangles 2" hidden="1"/>
        <dsp:cNvSpPr/>
      </dsp:nvSpPr>
      <dsp:spPr>
        <a:xfrm>
          <a:off x="0" y="825908"/>
          <a:ext cx="1029175" cy="1091384"/>
        </a:xfrm>
        <a:prstGeom prst="rect">
          <a:avLst/>
        </a:prstGeom>
      </dsp:spPr>
      <dsp:txXfrm>
        <a:off x="0" y="825908"/>
        <a:ext cx="1029175" cy="1091384"/>
      </dsp:txXfrm>
    </dsp:sp>
    <dsp:sp modelId="{3AA6C359-EFA2-44D8-AEA7-99479BF30CAB}">
      <dsp:nvSpPr>
        <dsp:cNvPr id="7" name="Rectangles 6" hidden="1"/>
        <dsp:cNvSpPr/>
      </dsp:nvSpPr>
      <dsp:spPr>
        <a:xfrm>
          <a:off x="1187412" y="793167"/>
          <a:ext cx="1090925" cy="1156867"/>
        </a:xfrm>
        <a:prstGeom prst="rect">
          <a:avLst/>
        </a:prstGeom>
      </dsp:spPr>
      <dsp:txXfrm>
        <a:off x="1187412" y="793167"/>
        <a:ext cx="1090925" cy="1156867"/>
      </dsp:txXfrm>
    </dsp:sp>
    <dsp:sp modelId="{3E2D008A-F034-4D1F-9123-FD4C56FC6E39}">
      <dsp:nvSpPr>
        <dsp:cNvPr id="11" name="Rectangles 10" hidden="1"/>
        <dsp:cNvSpPr/>
      </dsp:nvSpPr>
      <dsp:spPr>
        <a:xfrm>
          <a:off x="2436575" y="825908"/>
          <a:ext cx="1029175" cy="1091384"/>
        </a:xfrm>
        <a:prstGeom prst="rect">
          <a:avLst/>
        </a:prstGeom>
      </dsp:spPr>
      <dsp:txXfrm>
        <a:off x="2436575" y="825908"/>
        <a:ext cx="1029175" cy="1091384"/>
      </dsp:txXfrm>
    </dsp:sp>
    <dsp:sp modelId="{5A6E6256-2AE7-4D60-A3DF-E1FF150239EC}">
      <dsp:nvSpPr>
        <dsp:cNvPr id="15" name="Rectangles 14" hidden="1"/>
        <dsp:cNvSpPr/>
      </dsp:nvSpPr>
      <dsp:spPr>
        <a:xfrm>
          <a:off x="3623987" y="793167"/>
          <a:ext cx="1090925" cy="1156867"/>
        </a:xfrm>
        <a:prstGeom prst="rect">
          <a:avLst/>
        </a:prstGeom>
      </dsp:spPr>
      <dsp:txXfrm>
        <a:off x="3623987" y="793167"/>
        <a:ext cx="1090925" cy="1156867"/>
      </dsp:txXfrm>
    </dsp:sp>
    <dsp:sp modelId="{E886B979-73EE-49C0-B7BB-4E855C490FA6}">
      <dsp:nvSpPr>
        <dsp:cNvPr id="19" name="Rectangles 18" hidden="1"/>
        <dsp:cNvSpPr/>
      </dsp:nvSpPr>
      <dsp:spPr>
        <a:xfrm>
          <a:off x="4873150" y="825908"/>
          <a:ext cx="1029175" cy="1091384"/>
        </a:xfrm>
        <a:prstGeom prst="rect">
          <a:avLst/>
        </a:prstGeom>
      </dsp:spPr>
      <dsp:txXfrm>
        <a:off x="4873150" y="825908"/>
        <a:ext cx="1029175" cy="109138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srcNode" val="parentNode1"/>
              <dgm:param type="dstNode" val="connSite2"/>
              <dgm:param type="connRout" val="curve"/>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srcNode" val="parentNode2"/>
                <dgm:param type="dstNode" val="connSite1"/>
                <dgm:param type="connRout" val="curve"/>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0</Words>
  <Characters>0</Characters>
  <Lines>0</Lines>
  <Paragraphs>0</Paragraphs>
  <TotalTime>21</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2026-02-26T04:38:00Z</dcterms:created>
  <dc:creator>G-LIGHT</dc:creator>
  <cp:lastModifiedBy>G-LIGHT</cp:lastModifiedBy>
  <dcterms:modified xsi:type="dcterms:W3CDTF">2026-02-26T05:35:58Z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634C37ABD1F248EAB54F958FEC147E5F_13</vt:lpwstr>
  </property>
</Properties>
</file>