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133" w:rsidRPr="00503A73" w:rsidRDefault="00885133" w:rsidP="00CA75A3">
      <w:pPr>
        <w:spacing w:line="480" w:lineRule="auto"/>
        <w:jc w:val="both"/>
      </w:pPr>
    </w:p>
    <w:p w:rsidR="00885133" w:rsidRPr="00503A73" w:rsidRDefault="00C01441" w:rsidP="00F83621">
      <w:pPr>
        <w:pStyle w:val="Heading2"/>
        <w:spacing w:before="0" w:after="0"/>
        <w:jc w:val="center"/>
        <w:rPr>
          <w:rFonts w:ascii="Times New Roman" w:hAnsi="Times New Roman" w:cs="Times New Roman"/>
          <w:i w:val="0"/>
          <w:sz w:val="24"/>
          <w:szCs w:val="24"/>
        </w:rPr>
      </w:pPr>
      <w:bookmarkStart w:id="0" w:name="_Toc379442616"/>
      <w:bookmarkStart w:id="1" w:name="_Toc434589356"/>
      <w:r w:rsidRPr="00503A73">
        <w:rPr>
          <w:rFonts w:ascii="Times New Roman" w:hAnsi="Times New Roman" w:cs="Times New Roman"/>
          <w:i w:val="0"/>
          <w:sz w:val="24"/>
          <w:szCs w:val="24"/>
        </w:rPr>
        <w:t xml:space="preserve">Influence of </w:t>
      </w:r>
      <w:r w:rsidR="00885133" w:rsidRPr="00503A73">
        <w:rPr>
          <w:rFonts w:ascii="Times New Roman" w:hAnsi="Times New Roman" w:cs="Times New Roman"/>
          <w:i w:val="0"/>
          <w:sz w:val="24"/>
          <w:szCs w:val="24"/>
        </w:rPr>
        <w:t>Educational Qualification</w:t>
      </w:r>
      <w:r w:rsidRPr="00503A73">
        <w:rPr>
          <w:rFonts w:ascii="Times New Roman" w:hAnsi="Times New Roman" w:cs="Times New Roman"/>
          <w:i w:val="0"/>
          <w:sz w:val="24"/>
          <w:szCs w:val="24"/>
        </w:rPr>
        <w:t xml:space="preserve"> on the</w:t>
      </w:r>
      <w:r w:rsidR="00E63DE3" w:rsidRPr="00503A73">
        <w:rPr>
          <w:rFonts w:ascii="Times New Roman" w:hAnsi="Times New Roman" w:cs="Times New Roman"/>
          <w:i w:val="0"/>
          <w:sz w:val="24"/>
          <w:szCs w:val="24"/>
        </w:rPr>
        <w:t xml:space="preserve"> Level </w:t>
      </w:r>
      <w:r w:rsidR="006870DE" w:rsidRPr="00503A73">
        <w:rPr>
          <w:rFonts w:ascii="Times New Roman" w:hAnsi="Times New Roman" w:cs="Times New Roman"/>
          <w:i w:val="0"/>
          <w:sz w:val="24"/>
          <w:szCs w:val="24"/>
        </w:rPr>
        <w:t>of</w:t>
      </w:r>
      <w:r w:rsidR="00CB6D90" w:rsidRPr="00503A73">
        <w:rPr>
          <w:rFonts w:ascii="Times New Roman" w:hAnsi="Times New Roman" w:cs="Times New Roman"/>
          <w:i w:val="0"/>
          <w:sz w:val="24"/>
          <w:szCs w:val="24"/>
        </w:rPr>
        <w:t xml:space="preserve"> Information and Communication Technology</w:t>
      </w:r>
      <w:r w:rsidR="006870DE" w:rsidRPr="00503A73">
        <w:rPr>
          <w:rFonts w:ascii="Times New Roman" w:hAnsi="Times New Roman" w:cs="Times New Roman"/>
          <w:i w:val="0"/>
          <w:sz w:val="24"/>
          <w:szCs w:val="24"/>
        </w:rPr>
        <w:t xml:space="preserve"> Usage</w:t>
      </w:r>
      <w:r w:rsidRPr="00503A73">
        <w:rPr>
          <w:rFonts w:ascii="Times New Roman" w:hAnsi="Times New Roman" w:cs="Times New Roman"/>
          <w:i w:val="0"/>
          <w:sz w:val="24"/>
          <w:szCs w:val="24"/>
        </w:rPr>
        <w:t xml:space="preserve"> </w:t>
      </w:r>
      <w:r w:rsidR="00EC705E" w:rsidRPr="00503A73">
        <w:rPr>
          <w:rFonts w:ascii="Times New Roman" w:hAnsi="Times New Roman" w:cs="Times New Roman"/>
          <w:i w:val="0"/>
          <w:sz w:val="24"/>
          <w:szCs w:val="24"/>
        </w:rPr>
        <w:t xml:space="preserve">by Librarians </w:t>
      </w:r>
      <w:r w:rsidR="00564A8D" w:rsidRPr="00503A73">
        <w:rPr>
          <w:rFonts w:ascii="Times New Roman" w:hAnsi="Times New Roman" w:cs="Times New Roman"/>
          <w:i w:val="0"/>
          <w:sz w:val="24"/>
          <w:szCs w:val="24"/>
        </w:rPr>
        <w:t>in University</w:t>
      </w:r>
      <w:r w:rsidR="00C0547C" w:rsidRPr="00503A73">
        <w:rPr>
          <w:rFonts w:ascii="Times New Roman" w:hAnsi="Times New Roman" w:cs="Times New Roman"/>
          <w:i w:val="0"/>
          <w:sz w:val="24"/>
          <w:szCs w:val="24"/>
        </w:rPr>
        <w:t xml:space="preserve"> Librarie</w:t>
      </w:r>
      <w:r w:rsidRPr="00503A73">
        <w:rPr>
          <w:rFonts w:ascii="Times New Roman" w:hAnsi="Times New Roman" w:cs="Times New Roman"/>
          <w:i w:val="0"/>
          <w:sz w:val="24"/>
          <w:szCs w:val="24"/>
        </w:rPr>
        <w:t xml:space="preserve">s </w:t>
      </w:r>
      <w:bookmarkEnd w:id="0"/>
      <w:bookmarkEnd w:id="1"/>
      <w:r w:rsidRPr="00503A73">
        <w:rPr>
          <w:rFonts w:ascii="Times New Roman" w:hAnsi="Times New Roman" w:cs="Times New Roman"/>
          <w:i w:val="0"/>
          <w:sz w:val="24"/>
          <w:szCs w:val="24"/>
        </w:rPr>
        <w:t>in South South and South West Nigeria</w:t>
      </w:r>
    </w:p>
    <w:p w:rsidR="009D6EB1" w:rsidRPr="00503A73" w:rsidRDefault="009D6EB1" w:rsidP="00F83621">
      <w:pPr>
        <w:jc w:val="center"/>
      </w:pPr>
    </w:p>
    <w:p w:rsidR="009D6EB1" w:rsidRPr="00503A73" w:rsidRDefault="009D6EB1" w:rsidP="00F83621">
      <w:pPr>
        <w:jc w:val="center"/>
      </w:pPr>
      <w:r w:rsidRPr="00503A73">
        <w:t>By</w:t>
      </w:r>
    </w:p>
    <w:p w:rsidR="009D6EB1" w:rsidRPr="00503A73" w:rsidRDefault="009D6EB1" w:rsidP="00F83621">
      <w:pPr>
        <w:jc w:val="center"/>
      </w:pPr>
    </w:p>
    <w:p w:rsidR="009D6EB1" w:rsidRPr="00503A73" w:rsidRDefault="009D6EB1" w:rsidP="00F83621">
      <w:pPr>
        <w:jc w:val="center"/>
        <w:rPr>
          <w:vertAlign w:val="superscript"/>
        </w:rPr>
      </w:pPr>
      <w:r w:rsidRPr="00503A73">
        <w:t>Achugbue Iroroeavwo Edwin Ph.D, CLN</w:t>
      </w:r>
      <w:r w:rsidRPr="00503A73">
        <w:rPr>
          <w:vertAlign w:val="superscript"/>
        </w:rPr>
        <w:t xml:space="preserve"> </w:t>
      </w:r>
      <w:r w:rsidRPr="00503A73">
        <w:t>and Azih Adaeze Chioma</w:t>
      </w:r>
    </w:p>
    <w:p w:rsidR="009D6EB1" w:rsidRPr="00503A73" w:rsidRDefault="009D6EB1" w:rsidP="00F83621">
      <w:pPr>
        <w:jc w:val="center"/>
      </w:pPr>
      <w:r w:rsidRPr="00503A73">
        <w:t>Department of Library and Information Science Delta State University Abraka, Nigeria</w:t>
      </w:r>
    </w:p>
    <w:p w:rsidR="009D6EB1" w:rsidRPr="00503A73" w:rsidRDefault="009D6EB1" w:rsidP="00CA75A3">
      <w:pPr>
        <w:jc w:val="both"/>
      </w:pPr>
    </w:p>
    <w:p w:rsidR="009D6EB1" w:rsidRPr="00503A73" w:rsidRDefault="009D6EB1" w:rsidP="00CA75A3">
      <w:pPr>
        <w:jc w:val="both"/>
      </w:pPr>
    </w:p>
    <w:p w:rsidR="00885133" w:rsidRPr="00503A73" w:rsidRDefault="002365CA" w:rsidP="00CA75A3">
      <w:pPr>
        <w:spacing w:line="480" w:lineRule="auto"/>
        <w:jc w:val="both"/>
      </w:pPr>
      <w:r w:rsidRPr="00503A73">
        <w:t>Abstract</w:t>
      </w:r>
    </w:p>
    <w:p w:rsidR="00F524C1" w:rsidRPr="001C1A3D" w:rsidRDefault="000170A8" w:rsidP="00AA00F3">
      <w:pPr>
        <w:spacing w:line="480" w:lineRule="auto"/>
        <w:jc w:val="both"/>
        <w:rPr>
          <w:i/>
        </w:rPr>
      </w:pPr>
      <w:r w:rsidRPr="001C1A3D">
        <w:rPr>
          <w:i/>
        </w:rPr>
        <w:t>This study seek to examine influence of educational qualification on the level usage of information and communication technology by librarians in university librarians in South-South and South-West, Nigeria.</w:t>
      </w:r>
      <w:r w:rsidR="001E0EB1" w:rsidRPr="001C1A3D">
        <w:rPr>
          <w:i/>
        </w:rPr>
        <w:t xml:space="preserve"> The study adopted </w:t>
      </w:r>
      <w:r w:rsidR="003178F6" w:rsidRPr="001C1A3D">
        <w:rPr>
          <w:i/>
        </w:rPr>
        <w:t>is descriptive survey design of correlational form. The population of the study is 512 university librarians from 41 university libraries located in 12 states of the South-South and South-West, Nigeria.</w:t>
      </w:r>
      <w:r w:rsidR="007F6D88" w:rsidRPr="001C1A3D">
        <w:rPr>
          <w:i/>
        </w:rPr>
        <w:t xml:space="preserve"> Data for the research was collected throu</w:t>
      </w:r>
      <w:r w:rsidR="00F524C1" w:rsidRPr="001C1A3D">
        <w:rPr>
          <w:i/>
        </w:rPr>
        <w:t>gh</w:t>
      </w:r>
      <w:r w:rsidR="00AA00F3" w:rsidRPr="001C1A3D">
        <w:rPr>
          <w:i/>
        </w:rPr>
        <w:t xml:space="preserve"> the use of the question. </w:t>
      </w:r>
      <w:r w:rsidR="00F524C1" w:rsidRPr="001C1A3D">
        <w:rPr>
          <w:i/>
        </w:rPr>
        <w:t xml:space="preserve">T-test </w:t>
      </w:r>
      <w:r w:rsidR="00AA00F3" w:rsidRPr="001C1A3D">
        <w:rPr>
          <w:i/>
        </w:rPr>
        <w:t>was used</w:t>
      </w:r>
      <w:r w:rsidR="00F524C1" w:rsidRPr="001C1A3D">
        <w:rPr>
          <w:i/>
        </w:rPr>
        <w:t xml:space="preserve"> to answer hypothesis</w:t>
      </w:r>
      <w:r w:rsidR="00AA00F3" w:rsidRPr="001C1A3D">
        <w:rPr>
          <w:i/>
        </w:rPr>
        <w:t>, while Pearson</w:t>
      </w:r>
      <w:r w:rsidR="00AA00F3" w:rsidRPr="001C1A3D">
        <w:rPr>
          <w:i/>
        </w:rPr>
        <w:t xml:space="preserve"> Product Moment Correlation Coefficient was used for research question</w:t>
      </w:r>
      <w:r w:rsidR="00AA00F3" w:rsidRPr="001C1A3D">
        <w:rPr>
          <w:i/>
        </w:rPr>
        <w:t>. T</w:t>
      </w:r>
      <w:r w:rsidR="00F524C1" w:rsidRPr="001C1A3D">
        <w:rPr>
          <w:i/>
        </w:rPr>
        <w:t>he results</w:t>
      </w:r>
      <w:r w:rsidR="005F72BD" w:rsidRPr="001C1A3D">
        <w:rPr>
          <w:i/>
        </w:rPr>
        <w:t xml:space="preserve"> from the study shows </w:t>
      </w:r>
      <w:r w:rsidR="006F06B0" w:rsidRPr="001C1A3D">
        <w:rPr>
          <w:bCs/>
          <w:i/>
          <w:kern w:val="36"/>
        </w:rPr>
        <w:t>that librarians in university libraries in the South-South and South-West</w:t>
      </w:r>
      <w:r w:rsidR="005F72BD" w:rsidRPr="001C1A3D">
        <w:rPr>
          <w:bCs/>
          <w:i/>
          <w:kern w:val="36"/>
        </w:rPr>
        <w:t xml:space="preserve"> </w:t>
      </w:r>
      <w:r w:rsidR="004A3F44" w:rsidRPr="001C1A3D">
        <w:rPr>
          <w:bCs/>
          <w:i/>
          <w:kern w:val="36"/>
        </w:rPr>
        <w:t>Nigeria moderately</w:t>
      </w:r>
      <w:r w:rsidR="006F06B0" w:rsidRPr="001C1A3D">
        <w:rPr>
          <w:bCs/>
          <w:i/>
          <w:kern w:val="36"/>
        </w:rPr>
        <w:t xml:space="preserve"> use ICT hardware in university libraries</w:t>
      </w:r>
      <w:r w:rsidR="004A3F44" w:rsidRPr="001C1A3D">
        <w:rPr>
          <w:bCs/>
          <w:i/>
          <w:kern w:val="36"/>
        </w:rPr>
        <w:t xml:space="preserve"> and </w:t>
      </w:r>
      <w:r w:rsidR="004A3F44" w:rsidRPr="001C1A3D">
        <w:rPr>
          <w:bCs/>
          <w:i/>
          <w:color w:val="000000"/>
        </w:rPr>
        <w:t>that there is a significant correlation between the educational qualification of librarians and the level of ICT hardware usage by them. This implies that educational qualification of the librarian influences the use of ICT hardware</w:t>
      </w:r>
      <w:r w:rsidR="00B536D6" w:rsidRPr="001C1A3D">
        <w:rPr>
          <w:bCs/>
          <w:i/>
          <w:color w:val="000000"/>
        </w:rPr>
        <w:t>.</w:t>
      </w:r>
      <w:bookmarkStart w:id="2" w:name="_GoBack"/>
      <w:bookmarkEnd w:id="2"/>
    </w:p>
    <w:p w:rsidR="00F524C1" w:rsidRPr="00503A73" w:rsidRDefault="00F524C1" w:rsidP="00CA75A3">
      <w:pPr>
        <w:spacing w:line="480" w:lineRule="auto"/>
        <w:jc w:val="both"/>
      </w:pPr>
    </w:p>
    <w:p w:rsidR="002365CA" w:rsidRPr="001C1A3D" w:rsidRDefault="00CB6D90" w:rsidP="00CA75A3">
      <w:pPr>
        <w:spacing w:line="480" w:lineRule="auto"/>
        <w:jc w:val="both"/>
        <w:rPr>
          <w:i/>
        </w:rPr>
      </w:pPr>
      <w:r w:rsidRPr="00503A73">
        <w:t>Keywo</w:t>
      </w:r>
      <w:r w:rsidR="002365CA" w:rsidRPr="00503A73">
        <w:t>rds:</w:t>
      </w:r>
      <w:r w:rsidR="00B536D6">
        <w:t xml:space="preserve"> </w:t>
      </w:r>
      <w:r w:rsidR="001C1A3D" w:rsidRPr="001C1A3D">
        <w:rPr>
          <w:i/>
        </w:rPr>
        <w:t>ICT,</w:t>
      </w:r>
      <w:r w:rsidR="00B536D6" w:rsidRPr="001C1A3D">
        <w:rPr>
          <w:i/>
        </w:rPr>
        <w:t xml:space="preserve"> Hardware, Skills, Knowledge, South-South, South-West, Nigeria</w:t>
      </w:r>
      <w:r w:rsidR="001C1A3D" w:rsidRPr="001C1A3D">
        <w:rPr>
          <w:i/>
        </w:rPr>
        <w:t xml:space="preserve">. </w:t>
      </w:r>
    </w:p>
    <w:p w:rsidR="00885133" w:rsidRPr="00503A73" w:rsidRDefault="00885133" w:rsidP="00CA75A3">
      <w:pPr>
        <w:spacing w:line="480" w:lineRule="auto"/>
        <w:jc w:val="both"/>
      </w:pPr>
      <w:r w:rsidRPr="00503A73">
        <w:t>The rapid advances in Information and Communication Technologies are offering new potential for producing and disseminating information. These technologies have fundamentally altered how we live and work as well as how we learn (</w:t>
      </w:r>
      <w:proofErr w:type="spellStart"/>
      <w:r w:rsidRPr="00503A73">
        <w:t>Ojedokun</w:t>
      </w:r>
      <w:proofErr w:type="spellEnd"/>
      <w:r w:rsidRPr="00503A73">
        <w:t xml:space="preserve">, 2007). Virtually every aspect of scholarship </w:t>
      </w:r>
      <w:r w:rsidRPr="00503A73">
        <w:lastRenderedPageBreak/>
        <w:t>from conducting research to communicating ideas and dissemination of information has been influenced by these technologies. However, the negative consequences of lacking ICT skills by librarians and information professionals to fully utilize the ICTs in the workplace are a big challenge (</w:t>
      </w:r>
      <w:proofErr w:type="spellStart"/>
      <w:r w:rsidRPr="00503A73">
        <w:t>Ojedokun</w:t>
      </w:r>
      <w:proofErr w:type="spellEnd"/>
      <w:r w:rsidRPr="00503A73">
        <w:t>, 2007).</w:t>
      </w:r>
    </w:p>
    <w:p w:rsidR="00885133" w:rsidRPr="00503A73" w:rsidRDefault="00885133" w:rsidP="00CA75A3">
      <w:pPr>
        <w:spacing w:line="480" w:lineRule="auto"/>
        <w:ind w:firstLine="720"/>
        <w:jc w:val="both"/>
      </w:pPr>
      <w:r w:rsidRPr="00503A73">
        <w:t xml:space="preserve">According to </w:t>
      </w:r>
      <w:proofErr w:type="spellStart"/>
      <w:r w:rsidRPr="00503A73">
        <w:t>Karahanna</w:t>
      </w:r>
      <w:proofErr w:type="spellEnd"/>
      <w:r w:rsidRPr="00503A73">
        <w:t xml:space="preserve"> and Straub (1998), it is not enough that certain individuals decide to adopt Information and Communication Technology. Great importance should be attached or attributed to examining the nature of use, as the adoption itself does not fully measure the actual use of the ICT. Against this background, considering the new role of librarians in making information accessible in this era of information explosion, the need to have ICT skills and the ability and perceived ease of use become very necessary. Uwaifo (2007) posited that people perceive IT to be difficult to use coupled with when they lack knowledge of it. He further added that one of the major limitations to the adoption of web-based learning environment by educators is lack of web development skills and the level of education affects people’s perception of ease of use. </w:t>
      </w:r>
    </w:p>
    <w:p w:rsidR="00885133" w:rsidRPr="00503A73" w:rsidRDefault="00885133" w:rsidP="00CA75A3">
      <w:pPr>
        <w:spacing w:line="480" w:lineRule="auto"/>
        <w:ind w:firstLine="720"/>
        <w:jc w:val="both"/>
      </w:pPr>
      <w:r w:rsidRPr="00503A73">
        <w:t>In the present circumstance, the issue of the educational qualification of librarians cannot be overlooked when discussing the use of Information and Communication Technologies by librarians. This is because through education, knowledge is acquired, awareness is created and ignorance is removed (</w:t>
      </w:r>
      <w:proofErr w:type="spellStart"/>
      <w:r w:rsidRPr="00503A73">
        <w:t>Adeyinka</w:t>
      </w:r>
      <w:proofErr w:type="spellEnd"/>
      <w:r w:rsidRPr="00503A73">
        <w:t xml:space="preserve">, 2009). Some studies </w:t>
      </w:r>
      <w:r w:rsidR="00387A2B" w:rsidRPr="00503A73">
        <w:t>emphasis</w:t>
      </w:r>
      <w:r w:rsidRPr="00503A73">
        <w:t xml:space="preserve"> the importance of educational qualifications and librarians’ attitude to ICT usage. Popoola (2002), in his study on users’ attitudes toward microcomputer use in agricultural research libraries in Nigeria reported that there was statistically significant multi-collinear relationship between users’ attitudes and their gender, age and educational qualifications.</w:t>
      </w:r>
    </w:p>
    <w:p w:rsidR="00885133" w:rsidRPr="00503A73" w:rsidRDefault="00885133" w:rsidP="00CA75A3">
      <w:pPr>
        <w:spacing w:line="480" w:lineRule="auto"/>
        <w:ind w:firstLine="720"/>
        <w:jc w:val="both"/>
      </w:pPr>
      <w:proofErr w:type="spellStart"/>
      <w:r w:rsidRPr="00503A73">
        <w:lastRenderedPageBreak/>
        <w:t>Ramzan</w:t>
      </w:r>
      <w:proofErr w:type="spellEnd"/>
      <w:r w:rsidRPr="00503A73">
        <w:t xml:space="preserve"> (2004), cited in </w:t>
      </w:r>
      <w:proofErr w:type="spellStart"/>
      <w:r w:rsidRPr="00503A73">
        <w:t>Adeyinka</w:t>
      </w:r>
      <w:proofErr w:type="spellEnd"/>
      <w:r w:rsidRPr="00503A73">
        <w:t xml:space="preserve"> (2009) investigated the perceptions of 147 library professionals and paraprofessionals still concerning information technology innovations and training in university libraries in Saudi Arabia. He found a significant relationship between respondents’ educational background, experience in using information technology and their perception about it. In a related study, Uwaifo (2009) reported that even though </w:t>
      </w:r>
      <w:proofErr w:type="spellStart"/>
      <w:r w:rsidRPr="00503A73">
        <w:t>Partnayakuni</w:t>
      </w:r>
      <w:proofErr w:type="spellEnd"/>
      <w:r w:rsidRPr="00503A73">
        <w:t xml:space="preserve"> and Rai (1996) found that only a few studies show that a weak relationship exists between educational level and ICT adopting and use several studies have also proved that a strong relationship exists between educational level and ICT adoption and use. </w:t>
      </w:r>
      <w:proofErr w:type="spellStart"/>
      <w:r w:rsidRPr="00503A73">
        <w:t>Maesaroh</w:t>
      </w:r>
      <w:proofErr w:type="spellEnd"/>
      <w:r w:rsidRPr="00503A73">
        <w:t xml:space="preserve"> and </w:t>
      </w:r>
      <w:proofErr w:type="spellStart"/>
      <w:r w:rsidRPr="00503A73">
        <w:t>Genoni</w:t>
      </w:r>
      <w:proofErr w:type="spellEnd"/>
      <w:r w:rsidRPr="00503A73">
        <w:t xml:space="preserve"> (2009) reported a study of levels of education of Indonesian academic/university librarians’ continuing professional development. The research focused on the qualifications of librarians’ in Indonesian academic/university libraries and their type of continuing professional development and training on the job. However the study found relative shortcomings in the levels and standard of education among the Indonesian librarians’ although Indonesian librarians’ reported high levels of participation in some types of training, their levels of satisfaction was lower than of their Australian  counterparts. This implies that the quality of education and the continuing professional development was not satisfactory for Indonesian librarians. </w:t>
      </w:r>
    </w:p>
    <w:p w:rsidR="002D4829" w:rsidRPr="00503A73" w:rsidRDefault="002D4829" w:rsidP="00CA75A3">
      <w:pPr>
        <w:spacing w:before="240" w:line="480" w:lineRule="auto"/>
        <w:ind w:firstLine="720"/>
        <w:jc w:val="both"/>
      </w:pPr>
      <w:r w:rsidRPr="00503A73">
        <w:t>Commenting on the above, Pugh (2007) maintained that the nature of change in information services characterized by factors like diversity and unpredictability of the services and the staffing of libraries are cross – boundary specialization, which demand new skills and competencies over the traditional ones. On the use of ICT hardware in libraries Fran</w:t>
      </w:r>
      <w:r w:rsidR="002F03A2" w:rsidRPr="00503A73">
        <w:t xml:space="preserve">kel (1995) postulated that ICT </w:t>
      </w:r>
      <w:r w:rsidRPr="00503A73">
        <w:t xml:space="preserve">hardware represents a powerful mode of activity capable of shaping this entire universe whether action, intellectual thought or material products. However, the growth, use and application of  ICT hardware continue to increase in the twenty-first century, therefore this era can </w:t>
      </w:r>
      <w:r w:rsidRPr="00503A73">
        <w:lastRenderedPageBreak/>
        <w:t>be regarded as information age. Information revolution has a profound impact on nearly all walks of life. The core one and the most promising tool of this information age is the computer (Aziz, 2004).</w:t>
      </w:r>
    </w:p>
    <w:p w:rsidR="002D4829" w:rsidRPr="00503A73" w:rsidRDefault="002D4829" w:rsidP="00CA75A3">
      <w:pPr>
        <w:spacing w:before="240" w:line="480" w:lineRule="auto"/>
        <w:ind w:firstLine="720"/>
        <w:jc w:val="both"/>
      </w:pPr>
      <w:r w:rsidRPr="00503A73">
        <w:t xml:space="preserve"> In today’s information world, ICT hardware has become standard tools for information processing, storage and dissemination of information and communication which is an integral part of the modern library. The new electronics based technology has become pervasive in the work place. Education of employees in many industries increasingly depends on sophisticated technology (Aziz, 2004). The future will witness a time when an increasing percentage of librarians will be retrieving, processing and transmitting information through the use of ICT hardware. Therefore the librarian who becomes familiar with the use of ICT hardware will have a great advantage in the job market over the one who lacks such knowledge and training on the use of ICT hardware. A working familiarity with information and communication technology hardware is necessary for librarians who have no formal understanding of the use of ICT hardware, because knowledge of ICT hardware will be an asset in an ever more competitive employment market.</w:t>
      </w:r>
    </w:p>
    <w:p w:rsidR="002D4829" w:rsidRPr="00503A73" w:rsidRDefault="002D4829" w:rsidP="00CA75A3">
      <w:pPr>
        <w:spacing w:line="480" w:lineRule="auto"/>
        <w:ind w:firstLine="720"/>
        <w:jc w:val="both"/>
      </w:pPr>
      <w:r w:rsidRPr="00503A73">
        <w:t>The immense education potentials of information and communication also mean that all librarians need it to play a central role in their careers. As the use of ICT continues to grow in libraries and institutions, Ogletree and Williams (1990) and Nicholas (1992) commenting on the situation, noted that the rapid growth of microcomputers in organizations and educational institutions has led to ICT usage concern and apprehension in university libraries.</w:t>
      </w:r>
    </w:p>
    <w:p w:rsidR="002D4829" w:rsidRPr="00503A73" w:rsidRDefault="002D4829" w:rsidP="00CA75A3">
      <w:pPr>
        <w:spacing w:line="480" w:lineRule="auto"/>
        <w:jc w:val="both"/>
        <w:rPr>
          <w:b/>
          <w:shd w:val="clear" w:color="auto" w:fill="FFFFFF"/>
        </w:rPr>
      </w:pPr>
      <w:r w:rsidRPr="00503A73">
        <w:rPr>
          <w:b/>
          <w:shd w:val="clear" w:color="auto" w:fill="FFFFFF"/>
        </w:rPr>
        <w:t>Purpose of the Study</w:t>
      </w:r>
    </w:p>
    <w:p w:rsidR="005B024F" w:rsidRPr="00503A73" w:rsidRDefault="005B024F" w:rsidP="00CA75A3">
      <w:pPr>
        <w:pStyle w:val="Heading2"/>
        <w:spacing w:before="0" w:after="0" w:line="480" w:lineRule="auto"/>
        <w:jc w:val="both"/>
        <w:rPr>
          <w:rFonts w:ascii="Times New Roman" w:hAnsi="Times New Roman" w:cs="Times New Roman"/>
          <w:b w:val="0"/>
          <w:i w:val="0"/>
          <w:sz w:val="24"/>
          <w:szCs w:val="24"/>
        </w:rPr>
      </w:pPr>
      <w:r w:rsidRPr="00503A73">
        <w:rPr>
          <w:rFonts w:ascii="Times New Roman" w:hAnsi="Times New Roman" w:cs="Times New Roman"/>
          <w:b w:val="0"/>
          <w:i w:val="0"/>
          <w:sz w:val="24"/>
          <w:szCs w:val="24"/>
        </w:rPr>
        <w:lastRenderedPageBreak/>
        <w:t>This study seek to examine influence of educational qualification on the</w:t>
      </w:r>
      <w:r w:rsidR="000F29D9" w:rsidRPr="00503A73">
        <w:rPr>
          <w:rFonts w:ascii="Times New Roman" w:hAnsi="Times New Roman" w:cs="Times New Roman"/>
          <w:b w:val="0"/>
          <w:i w:val="0"/>
          <w:sz w:val="24"/>
          <w:szCs w:val="24"/>
        </w:rPr>
        <w:t xml:space="preserve"> level</w:t>
      </w:r>
      <w:r w:rsidRPr="00503A73">
        <w:rPr>
          <w:rFonts w:ascii="Times New Roman" w:hAnsi="Times New Roman" w:cs="Times New Roman"/>
          <w:b w:val="0"/>
          <w:i w:val="0"/>
          <w:sz w:val="24"/>
          <w:szCs w:val="24"/>
        </w:rPr>
        <w:t xml:space="preserve"> usage of information</w:t>
      </w:r>
      <w:r w:rsidR="005111A5" w:rsidRPr="00503A73">
        <w:rPr>
          <w:rFonts w:ascii="Times New Roman" w:hAnsi="Times New Roman" w:cs="Times New Roman"/>
          <w:b w:val="0"/>
          <w:i w:val="0"/>
          <w:sz w:val="24"/>
          <w:szCs w:val="24"/>
        </w:rPr>
        <w:t xml:space="preserve"> and communication technology</w:t>
      </w:r>
      <w:r w:rsidR="00CA49B6" w:rsidRPr="00503A73">
        <w:rPr>
          <w:rFonts w:ascii="Times New Roman" w:hAnsi="Times New Roman" w:cs="Times New Roman"/>
          <w:b w:val="0"/>
          <w:i w:val="0"/>
          <w:sz w:val="24"/>
          <w:szCs w:val="24"/>
        </w:rPr>
        <w:t xml:space="preserve"> by librarians in</w:t>
      </w:r>
      <w:r w:rsidRPr="00503A73">
        <w:rPr>
          <w:rFonts w:ascii="Times New Roman" w:hAnsi="Times New Roman" w:cs="Times New Roman"/>
          <w:b w:val="0"/>
          <w:i w:val="0"/>
          <w:sz w:val="24"/>
          <w:szCs w:val="24"/>
        </w:rPr>
        <w:t xml:space="preserve"> university librarians in South South and South West Nigeria. The general objective is:</w:t>
      </w:r>
    </w:p>
    <w:p w:rsidR="0066098E" w:rsidRDefault="00C616AC" w:rsidP="00CA75A3">
      <w:pPr>
        <w:numPr>
          <w:ilvl w:val="0"/>
          <w:numId w:val="1"/>
        </w:numPr>
        <w:spacing w:line="480" w:lineRule="auto"/>
        <w:jc w:val="both"/>
      </w:pPr>
      <w:r w:rsidRPr="00503A73">
        <w:t>To find out whether educational qualificati</w:t>
      </w:r>
      <w:r w:rsidR="009804B2" w:rsidRPr="00503A73">
        <w:t xml:space="preserve">on </w:t>
      </w:r>
      <w:r w:rsidR="008813E9" w:rsidRPr="00503A73">
        <w:t>of librarians</w:t>
      </w:r>
      <w:r w:rsidRPr="00503A73">
        <w:t xml:space="preserve"> will affect the </w:t>
      </w:r>
      <w:r w:rsidR="000F29D9" w:rsidRPr="00503A73">
        <w:t xml:space="preserve">level </w:t>
      </w:r>
      <w:r w:rsidRPr="00503A73">
        <w:t>use of information</w:t>
      </w:r>
      <w:r w:rsidR="009804B2" w:rsidRPr="00503A73">
        <w:t xml:space="preserve"> and communi</w:t>
      </w:r>
      <w:r w:rsidR="008813E9" w:rsidRPr="00503A73">
        <w:t>cation technology on university</w:t>
      </w:r>
      <w:r w:rsidR="009804B2" w:rsidRPr="00503A73">
        <w:t xml:space="preserve"> librarie</w:t>
      </w:r>
      <w:r w:rsidRPr="00503A73">
        <w:t>s?</w:t>
      </w:r>
    </w:p>
    <w:p w:rsidR="005F72BD" w:rsidRPr="00503A73" w:rsidRDefault="005F72BD" w:rsidP="005F72BD">
      <w:pPr>
        <w:spacing w:line="480" w:lineRule="auto"/>
        <w:jc w:val="both"/>
      </w:pPr>
    </w:p>
    <w:p w:rsidR="002D4829" w:rsidRPr="00503A73" w:rsidRDefault="002D4829" w:rsidP="00CA75A3">
      <w:pPr>
        <w:pStyle w:val="ListParagraph"/>
        <w:ind w:hanging="720"/>
        <w:jc w:val="both"/>
        <w:rPr>
          <w:b/>
        </w:rPr>
      </w:pPr>
      <w:r w:rsidRPr="00503A73">
        <w:rPr>
          <w:b/>
        </w:rPr>
        <w:t>Research Question</w:t>
      </w:r>
    </w:p>
    <w:p w:rsidR="00F55BC4" w:rsidRPr="00503A73" w:rsidRDefault="00F55BC4" w:rsidP="00CA75A3">
      <w:pPr>
        <w:pStyle w:val="ListParagraph"/>
        <w:ind w:hanging="720"/>
        <w:jc w:val="both"/>
        <w:rPr>
          <w:b/>
        </w:rPr>
      </w:pPr>
    </w:p>
    <w:p w:rsidR="00F55BC4" w:rsidRPr="00503A73" w:rsidRDefault="00F55BC4" w:rsidP="00CA75A3">
      <w:pPr>
        <w:pStyle w:val="ListParagraph"/>
        <w:ind w:hanging="720"/>
        <w:jc w:val="both"/>
      </w:pPr>
      <w:r w:rsidRPr="00503A73">
        <w:t>This research will provide answer to the research question below:</w:t>
      </w:r>
    </w:p>
    <w:p w:rsidR="00F55BC4" w:rsidRPr="00503A73" w:rsidRDefault="00F55BC4" w:rsidP="00CA75A3">
      <w:pPr>
        <w:pStyle w:val="ListParagraph"/>
        <w:ind w:hanging="720"/>
        <w:jc w:val="both"/>
      </w:pPr>
    </w:p>
    <w:p w:rsidR="002D4829" w:rsidRDefault="00F55BC4" w:rsidP="00CA75A3">
      <w:pPr>
        <w:pStyle w:val="ListParagraph"/>
        <w:numPr>
          <w:ilvl w:val="0"/>
          <w:numId w:val="3"/>
        </w:numPr>
        <w:spacing w:line="480" w:lineRule="auto"/>
        <w:jc w:val="both"/>
      </w:pPr>
      <w:r w:rsidRPr="00503A73">
        <w:t xml:space="preserve">To what extent does educational qualification affect the use </w:t>
      </w:r>
      <w:r w:rsidR="0066098E" w:rsidRPr="00503A73">
        <w:t xml:space="preserve">of ICT </w:t>
      </w:r>
      <w:r w:rsidRPr="00503A73">
        <w:t>by librarians</w:t>
      </w:r>
      <w:r w:rsidR="0066098E" w:rsidRPr="00503A73">
        <w:t xml:space="preserve"> in university libraries</w:t>
      </w:r>
      <w:r w:rsidRPr="00503A73">
        <w:t>?</w:t>
      </w:r>
    </w:p>
    <w:p w:rsidR="00EE2B19" w:rsidRPr="00503A73" w:rsidRDefault="00EE2B19" w:rsidP="00EE2B19">
      <w:pPr>
        <w:pStyle w:val="ListParagraph"/>
        <w:spacing w:line="480" w:lineRule="auto"/>
        <w:jc w:val="both"/>
      </w:pPr>
    </w:p>
    <w:p w:rsidR="001E0EB1" w:rsidRPr="00503A73" w:rsidRDefault="00E7045F" w:rsidP="001E0EB1">
      <w:pPr>
        <w:spacing w:line="480" w:lineRule="auto"/>
        <w:jc w:val="both"/>
        <w:rPr>
          <w:b/>
        </w:rPr>
      </w:pPr>
      <w:r w:rsidRPr="00503A73">
        <w:rPr>
          <w:b/>
        </w:rPr>
        <w:t>Hypothesis</w:t>
      </w:r>
    </w:p>
    <w:p w:rsidR="00E7045F" w:rsidRPr="00503A73" w:rsidRDefault="00E7045F" w:rsidP="00E7045F">
      <w:pPr>
        <w:spacing w:before="240" w:line="480" w:lineRule="auto"/>
        <w:jc w:val="both"/>
      </w:pPr>
      <w:r w:rsidRPr="00503A73">
        <w:t>The hypothesis will be tested in the study at 0.05 level of significance.</w:t>
      </w:r>
    </w:p>
    <w:p w:rsidR="001E0EB1" w:rsidRPr="00503A73" w:rsidRDefault="00E7045F" w:rsidP="001E0EB1">
      <w:pPr>
        <w:pStyle w:val="ListParagraph"/>
        <w:numPr>
          <w:ilvl w:val="0"/>
          <w:numId w:val="4"/>
        </w:numPr>
        <w:spacing w:line="480" w:lineRule="auto"/>
        <w:jc w:val="both"/>
      </w:pPr>
      <w:r w:rsidRPr="00503A73">
        <w:t>There is no significant relationship in librarians’ educational qualification and use of ICT hardware in university libraries.</w:t>
      </w:r>
    </w:p>
    <w:p w:rsidR="002D4829" w:rsidRPr="00503A73" w:rsidRDefault="002D4829" w:rsidP="00CA75A3">
      <w:pPr>
        <w:spacing w:line="480" w:lineRule="auto"/>
        <w:jc w:val="both"/>
        <w:rPr>
          <w:b/>
        </w:rPr>
      </w:pPr>
      <w:r w:rsidRPr="00503A73">
        <w:rPr>
          <w:b/>
        </w:rPr>
        <w:t xml:space="preserve">Research Design </w:t>
      </w:r>
    </w:p>
    <w:p w:rsidR="00946CEA" w:rsidRDefault="00946CEA" w:rsidP="00CA75A3">
      <w:pPr>
        <w:spacing w:line="480" w:lineRule="auto"/>
        <w:jc w:val="both"/>
      </w:pPr>
      <w:r w:rsidRPr="00503A73">
        <w:t>The design adopted in this study is descriptive survey design</w:t>
      </w:r>
      <w:r w:rsidR="00211A35" w:rsidRPr="00503A73">
        <w:t xml:space="preserve"> of correlational form. The research employed descriptive design due to its advantage and its objectives of revealing the characteristics of a certain entities, condition, population or respondents</w:t>
      </w:r>
      <w:r w:rsidR="00AA20CC" w:rsidRPr="00503A73">
        <w:t xml:space="preserve"> (Yomere &amp; Agbonifoh, 1999)</w:t>
      </w:r>
      <w:r w:rsidR="00211A35" w:rsidRPr="00503A73">
        <w:t>.</w:t>
      </w:r>
      <w:r w:rsidR="00BB4160" w:rsidRPr="00503A73">
        <w:t xml:space="preserve"> Egbule and Okobia (1998) further expounded the importance of descriptive design and stated that descriptive design provides basis for existing situation that present conditions through systematic collection of facts</w:t>
      </w:r>
      <w:r w:rsidR="008E608A" w:rsidRPr="00503A73">
        <w:t xml:space="preserve"> and accurate information. </w:t>
      </w:r>
    </w:p>
    <w:p w:rsidR="00AA00F3" w:rsidRDefault="00AA00F3" w:rsidP="00CA75A3">
      <w:pPr>
        <w:spacing w:line="480" w:lineRule="auto"/>
        <w:jc w:val="both"/>
      </w:pPr>
    </w:p>
    <w:p w:rsidR="00AA00F3" w:rsidRPr="00503A73" w:rsidRDefault="00AA00F3" w:rsidP="00CA75A3">
      <w:pPr>
        <w:spacing w:line="480" w:lineRule="auto"/>
        <w:jc w:val="both"/>
      </w:pPr>
    </w:p>
    <w:p w:rsidR="002D4829" w:rsidRPr="00503A73" w:rsidRDefault="002D4829" w:rsidP="00CA75A3">
      <w:pPr>
        <w:spacing w:line="480" w:lineRule="auto"/>
        <w:jc w:val="both"/>
        <w:rPr>
          <w:b/>
          <w:shd w:val="clear" w:color="auto" w:fill="FFFFFF"/>
        </w:rPr>
      </w:pPr>
      <w:r w:rsidRPr="00503A73">
        <w:rPr>
          <w:b/>
          <w:shd w:val="clear" w:color="auto" w:fill="FFFFFF"/>
        </w:rPr>
        <w:t>Population of the Study</w:t>
      </w:r>
    </w:p>
    <w:p w:rsidR="008E608A" w:rsidRPr="00503A73" w:rsidRDefault="008E608A" w:rsidP="00CA75A3">
      <w:pPr>
        <w:spacing w:line="480" w:lineRule="auto"/>
        <w:jc w:val="both"/>
        <w:rPr>
          <w:shd w:val="clear" w:color="auto" w:fill="FFFFFF"/>
        </w:rPr>
      </w:pPr>
      <w:r w:rsidRPr="00503A73">
        <w:rPr>
          <w:shd w:val="clear" w:color="auto" w:fill="FFFFFF"/>
        </w:rPr>
        <w:t xml:space="preserve">The population for this </w:t>
      </w:r>
      <w:r w:rsidR="00460F00" w:rsidRPr="00503A73">
        <w:rPr>
          <w:shd w:val="clear" w:color="auto" w:fill="FFFFFF"/>
        </w:rPr>
        <w:t xml:space="preserve">study </w:t>
      </w:r>
      <w:r w:rsidR="00876763" w:rsidRPr="00503A73">
        <w:rPr>
          <w:shd w:val="clear" w:color="auto" w:fill="FFFFFF"/>
        </w:rPr>
        <w:t>is five hundred and Twelve (512</w:t>
      </w:r>
      <w:r w:rsidR="00460F00" w:rsidRPr="00503A73">
        <w:rPr>
          <w:shd w:val="clear" w:color="auto" w:fill="FFFFFF"/>
        </w:rPr>
        <w:t>) librarians working in university libraries in South South and South West, Nigeria. This number consisted of the total population of librarians in forty one (41) universities in twelve (12) states of the South South and south West of Nigeria.</w:t>
      </w:r>
    </w:p>
    <w:p w:rsidR="002D4829" w:rsidRPr="00503A73" w:rsidRDefault="002D4829" w:rsidP="00CA75A3">
      <w:pPr>
        <w:spacing w:line="480" w:lineRule="auto"/>
        <w:jc w:val="both"/>
        <w:rPr>
          <w:b/>
        </w:rPr>
      </w:pPr>
      <w:r w:rsidRPr="00503A73">
        <w:rPr>
          <w:b/>
        </w:rPr>
        <w:t>Research Instrument</w:t>
      </w:r>
    </w:p>
    <w:p w:rsidR="00436401" w:rsidRPr="00503A73" w:rsidRDefault="00436401" w:rsidP="00CA75A3">
      <w:pPr>
        <w:spacing w:line="480" w:lineRule="auto"/>
        <w:jc w:val="both"/>
      </w:pPr>
      <w:r w:rsidRPr="00503A73">
        <w:t xml:space="preserve">The instrument used for data collection is the questionnaire. The </w:t>
      </w:r>
      <w:r w:rsidR="00E222FD" w:rsidRPr="00503A73">
        <w:t xml:space="preserve">questionnaire was used because it is a reliable instrument that is capable of collecting data especially when the researcher want obtain answers from a set population. </w:t>
      </w:r>
    </w:p>
    <w:p w:rsidR="00EF4DB8" w:rsidRPr="00503A73" w:rsidRDefault="00EF4DB8" w:rsidP="00CA75A3">
      <w:pPr>
        <w:spacing w:line="480" w:lineRule="auto"/>
        <w:jc w:val="both"/>
      </w:pPr>
    </w:p>
    <w:p w:rsidR="008F750D" w:rsidRPr="00503A73" w:rsidRDefault="002D4829" w:rsidP="00CA75A3">
      <w:pPr>
        <w:spacing w:line="480" w:lineRule="auto"/>
        <w:jc w:val="both"/>
        <w:rPr>
          <w:b/>
        </w:rPr>
      </w:pPr>
      <w:r w:rsidRPr="00503A73">
        <w:rPr>
          <w:b/>
        </w:rPr>
        <w:t xml:space="preserve">Method of Data Analysis </w:t>
      </w:r>
    </w:p>
    <w:p w:rsidR="002D4829" w:rsidRPr="00503A73" w:rsidRDefault="008F750D" w:rsidP="00CA75A3">
      <w:pPr>
        <w:spacing w:line="480" w:lineRule="auto"/>
        <w:jc w:val="both"/>
        <w:rPr>
          <w:b/>
        </w:rPr>
      </w:pPr>
      <w:r w:rsidRPr="00503A73">
        <w:t xml:space="preserve">Data were collected through the use </w:t>
      </w:r>
      <w:r w:rsidR="00F25C6A" w:rsidRPr="00503A73">
        <w:t>of the</w:t>
      </w:r>
      <w:r w:rsidRPr="00503A73">
        <w:t xml:space="preserve"> question</w:t>
      </w:r>
      <w:r w:rsidR="00F25C6A" w:rsidRPr="00503A73">
        <w:t xml:space="preserve">. The questionnaires were administered personally to the respondents by the researcher with the </w:t>
      </w:r>
      <w:r w:rsidR="00AF4DD5" w:rsidRPr="00503A73">
        <w:t>assistance research</w:t>
      </w:r>
      <w:r w:rsidR="00F25C6A" w:rsidRPr="00503A73">
        <w:t xml:space="preserve"> assistant in the university libraries within the scope of the </w:t>
      </w:r>
      <w:r w:rsidR="00AF4DD5" w:rsidRPr="00503A73">
        <w:t>study.</w:t>
      </w:r>
      <w:r w:rsidR="00F25C6A" w:rsidRPr="00503A73">
        <w:t xml:space="preserve"> </w:t>
      </w:r>
      <w:r w:rsidRPr="00503A73">
        <w:t xml:space="preserve"> </w:t>
      </w:r>
      <w:r w:rsidR="00D730BA" w:rsidRPr="00503A73">
        <w:t xml:space="preserve">Simple percentage was </w:t>
      </w:r>
      <w:r w:rsidR="00503A73" w:rsidRPr="00503A73">
        <w:t>used to analyze the educational</w:t>
      </w:r>
      <w:r w:rsidR="00D730BA" w:rsidRPr="00503A73">
        <w:t xml:space="preserve"> information of the </w:t>
      </w:r>
      <w:r w:rsidR="00503A73" w:rsidRPr="00503A73">
        <w:t>respondents. The study</w:t>
      </w:r>
      <w:r w:rsidR="00503A73" w:rsidRPr="00503A73">
        <w:rPr>
          <w:b/>
        </w:rPr>
        <w:t xml:space="preserve"> </w:t>
      </w:r>
      <w:r w:rsidR="00503A73" w:rsidRPr="00503A73">
        <w:t>employed Pearson</w:t>
      </w:r>
      <w:r w:rsidR="00E7045F" w:rsidRPr="00503A73">
        <w:t xml:space="preserve"> Product Moment Correlation Coefficient for the analysis of research question and </w:t>
      </w:r>
      <w:r w:rsidR="00503A73" w:rsidRPr="00503A73">
        <w:t>T-test was used to answer hypothesis</w:t>
      </w:r>
    </w:p>
    <w:p w:rsidR="002D4829" w:rsidRPr="00503A73" w:rsidRDefault="002D4829" w:rsidP="00CA75A3">
      <w:pPr>
        <w:spacing w:line="480" w:lineRule="auto"/>
        <w:jc w:val="both"/>
        <w:rPr>
          <w:b/>
        </w:rPr>
      </w:pPr>
      <w:r w:rsidRPr="00503A73">
        <w:rPr>
          <w:b/>
        </w:rPr>
        <w:t>Presentation of Results and Discussion of Finings</w:t>
      </w:r>
    </w:p>
    <w:p w:rsidR="002365CA" w:rsidRPr="00503A73" w:rsidRDefault="002365CA" w:rsidP="00CA75A3">
      <w:pPr>
        <w:spacing w:line="480" w:lineRule="auto"/>
        <w:jc w:val="both"/>
      </w:pPr>
      <w:r w:rsidRPr="00503A73">
        <w:t>The results from the study are presented below:</w:t>
      </w:r>
    </w:p>
    <w:p w:rsidR="002540E4" w:rsidRPr="00503A73" w:rsidRDefault="002365CA" w:rsidP="00CA75A3">
      <w:pPr>
        <w:spacing w:line="480" w:lineRule="auto"/>
        <w:jc w:val="both"/>
        <w:rPr>
          <w:b/>
        </w:rPr>
      </w:pPr>
      <w:r w:rsidRPr="00503A73">
        <w:rPr>
          <w:b/>
        </w:rPr>
        <w:t>Analysis of Data of Educational Qualification of</w:t>
      </w:r>
      <w:r w:rsidR="002540E4" w:rsidRPr="00503A73">
        <w:rPr>
          <w:b/>
        </w:rPr>
        <w:t xml:space="preserve"> the Respondents</w:t>
      </w:r>
    </w:p>
    <w:p w:rsidR="002365CA" w:rsidRPr="00503A73" w:rsidRDefault="002365CA" w:rsidP="00CA75A3">
      <w:pPr>
        <w:spacing w:line="360" w:lineRule="auto"/>
        <w:ind w:left="-90"/>
        <w:jc w:val="both"/>
        <w:rPr>
          <w:b/>
        </w:rPr>
      </w:pPr>
      <w:r w:rsidRPr="00503A73">
        <w:rPr>
          <w:b/>
        </w:rPr>
        <w:t>The Educational qualifications of the respondents are shown in Table 1.</w:t>
      </w:r>
    </w:p>
    <w:p w:rsidR="00CC5443" w:rsidRPr="00503A73" w:rsidRDefault="00CC5443" w:rsidP="00CA75A3">
      <w:pPr>
        <w:autoSpaceDE w:val="0"/>
        <w:autoSpaceDN w:val="0"/>
        <w:adjustRightInd w:val="0"/>
        <w:spacing w:line="360" w:lineRule="auto"/>
        <w:jc w:val="both"/>
        <w:rPr>
          <w:b/>
        </w:rPr>
      </w:pPr>
    </w:p>
    <w:p w:rsidR="00CC5443" w:rsidRPr="00503A73" w:rsidRDefault="00CC5443" w:rsidP="00CA75A3">
      <w:pPr>
        <w:autoSpaceDE w:val="0"/>
        <w:autoSpaceDN w:val="0"/>
        <w:adjustRightInd w:val="0"/>
        <w:spacing w:line="360" w:lineRule="auto"/>
        <w:jc w:val="both"/>
        <w:rPr>
          <w:b/>
        </w:rPr>
      </w:pPr>
    </w:p>
    <w:p w:rsidR="002365CA" w:rsidRPr="00503A73" w:rsidRDefault="00CC5443" w:rsidP="00CA75A3">
      <w:pPr>
        <w:autoSpaceDE w:val="0"/>
        <w:autoSpaceDN w:val="0"/>
        <w:adjustRightInd w:val="0"/>
        <w:spacing w:line="360" w:lineRule="auto"/>
        <w:jc w:val="both"/>
        <w:rPr>
          <w:b/>
        </w:rPr>
      </w:pPr>
      <w:r w:rsidRPr="00503A73">
        <w:rPr>
          <w:b/>
        </w:rPr>
        <w:lastRenderedPageBreak/>
        <w:t>Table 1</w:t>
      </w:r>
      <w:r w:rsidR="002365CA" w:rsidRPr="00503A73">
        <w:rPr>
          <w:b/>
        </w:rPr>
        <w:t>: Educational Qualifications of the Respondents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2681"/>
        <w:gridCol w:w="2977"/>
      </w:tblGrid>
      <w:tr w:rsidR="002365CA" w:rsidRPr="00503A73" w:rsidTr="008D7DD6">
        <w:tc>
          <w:tcPr>
            <w:tcW w:w="2984" w:type="dxa"/>
          </w:tcPr>
          <w:p w:rsidR="002365CA" w:rsidRPr="00503A73" w:rsidRDefault="002365CA" w:rsidP="00CA75A3">
            <w:pPr>
              <w:autoSpaceDE w:val="0"/>
              <w:autoSpaceDN w:val="0"/>
              <w:adjustRightInd w:val="0"/>
              <w:spacing w:line="360" w:lineRule="auto"/>
              <w:jc w:val="both"/>
              <w:rPr>
                <w:b/>
              </w:rPr>
            </w:pPr>
            <w:r w:rsidRPr="00503A73">
              <w:rPr>
                <w:b/>
              </w:rPr>
              <w:t>Educational Qualification</w:t>
            </w:r>
          </w:p>
        </w:tc>
        <w:tc>
          <w:tcPr>
            <w:tcW w:w="2681" w:type="dxa"/>
          </w:tcPr>
          <w:p w:rsidR="002365CA" w:rsidRPr="00503A73" w:rsidRDefault="002365CA" w:rsidP="00CA75A3">
            <w:pPr>
              <w:autoSpaceDE w:val="0"/>
              <w:autoSpaceDN w:val="0"/>
              <w:adjustRightInd w:val="0"/>
              <w:spacing w:line="360" w:lineRule="auto"/>
              <w:jc w:val="both"/>
              <w:rPr>
                <w:b/>
              </w:rPr>
            </w:pPr>
            <w:r w:rsidRPr="00503A73">
              <w:rPr>
                <w:b/>
              </w:rPr>
              <w:t>Frequency</w:t>
            </w:r>
          </w:p>
        </w:tc>
        <w:tc>
          <w:tcPr>
            <w:tcW w:w="2977" w:type="dxa"/>
          </w:tcPr>
          <w:p w:rsidR="002365CA" w:rsidRPr="00503A73" w:rsidRDefault="002365CA" w:rsidP="00CA75A3">
            <w:pPr>
              <w:autoSpaceDE w:val="0"/>
              <w:autoSpaceDN w:val="0"/>
              <w:adjustRightInd w:val="0"/>
              <w:spacing w:line="360" w:lineRule="auto"/>
              <w:jc w:val="both"/>
              <w:rPr>
                <w:b/>
              </w:rPr>
            </w:pPr>
            <w:r w:rsidRPr="00503A73">
              <w:rPr>
                <w:b/>
              </w:rPr>
              <w:t>Percentage (%)</w:t>
            </w:r>
          </w:p>
        </w:tc>
      </w:tr>
      <w:tr w:rsidR="002365CA" w:rsidRPr="00503A73" w:rsidTr="008D7DD6">
        <w:tc>
          <w:tcPr>
            <w:tcW w:w="2984" w:type="dxa"/>
          </w:tcPr>
          <w:p w:rsidR="002365CA" w:rsidRPr="00503A73" w:rsidRDefault="002365CA" w:rsidP="00CA75A3">
            <w:pPr>
              <w:autoSpaceDE w:val="0"/>
              <w:autoSpaceDN w:val="0"/>
              <w:adjustRightInd w:val="0"/>
              <w:jc w:val="both"/>
            </w:pPr>
            <w:r w:rsidRPr="00503A73">
              <w:t>BA/</w:t>
            </w:r>
            <w:proofErr w:type="spellStart"/>
            <w:r w:rsidRPr="00503A73">
              <w:t>B.Sc</w:t>
            </w:r>
            <w:proofErr w:type="spellEnd"/>
          </w:p>
        </w:tc>
        <w:tc>
          <w:tcPr>
            <w:tcW w:w="2681" w:type="dxa"/>
          </w:tcPr>
          <w:p w:rsidR="002365CA" w:rsidRPr="00503A73" w:rsidRDefault="002365CA" w:rsidP="00CA75A3">
            <w:pPr>
              <w:autoSpaceDE w:val="0"/>
              <w:autoSpaceDN w:val="0"/>
              <w:adjustRightInd w:val="0"/>
              <w:jc w:val="both"/>
            </w:pPr>
            <w:r w:rsidRPr="00503A73">
              <w:t>243</w:t>
            </w:r>
          </w:p>
        </w:tc>
        <w:tc>
          <w:tcPr>
            <w:tcW w:w="2977" w:type="dxa"/>
          </w:tcPr>
          <w:p w:rsidR="002365CA" w:rsidRPr="00503A73" w:rsidRDefault="002365CA" w:rsidP="00CA75A3">
            <w:pPr>
              <w:autoSpaceDE w:val="0"/>
              <w:autoSpaceDN w:val="0"/>
              <w:adjustRightInd w:val="0"/>
              <w:jc w:val="both"/>
            </w:pPr>
            <w:r w:rsidRPr="00503A73">
              <w:t>47.5</w:t>
            </w:r>
          </w:p>
        </w:tc>
      </w:tr>
      <w:tr w:rsidR="002365CA" w:rsidRPr="00503A73" w:rsidTr="008D7DD6">
        <w:tc>
          <w:tcPr>
            <w:tcW w:w="2984" w:type="dxa"/>
          </w:tcPr>
          <w:p w:rsidR="002365CA" w:rsidRPr="00503A73" w:rsidRDefault="002365CA" w:rsidP="00CA75A3">
            <w:pPr>
              <w:autoSpaceDE w:val="0"/>
              <w:autoSpaceDN w:val="0"/>
              <w:adjustRightInd w:val="0"/>
              <w:jc w:val="both"/>
            </w:pPr>
            <w:proofErr w:type="spellStart"/>
            <w:r w:rsidRPr="00503A73">
              <w:t>M.Sc</w:t>
            </w:r>
            <w:proofErr w:type="spellEnd"/>
            <w:r w:rsidRPr="00503A73">
              <w:t>/Ph.D</w:t>
            </w:r>
          </w:p>
        </w:tc>
        <w:tc>
          <w:tcPr>
            <w:tcW w:w="2681" w:type="dxa"/>
          </w:tcPr>
          <w:p w:rsidR="002365CA" w:rsidRPr="00503A73" w:rsidRDefault="002365CA" w:rsidP="00CA75A3">
            <w:pPr>
              <w:autoSpaceDE w:val="0"/>
              <w:autoSpaceDN w:val="0"/>
              <w:adjustRightInd w:val="0"/>
              <w:jc w:val="both"/>
            </w:pPr>
            <w:r w:rsidRPr="00503A73">
              <w:t>269</w:t>
            </w:r>
          </w:p>
        </w:tc>
        <w:tc>
          <w:tcPr>
            <w:tcW w:w="2977" w:type="dxa"/>
          </w:tcPr>
          <w:p w:rsidR="002365CA" w:rsidRPr="00503A73" w:rsidRDefault="002365CA" w:rsidP="00CA75A3">
            <w:pPr>
              <w:autoSpaceDE w:val="0"/>
              <w:autoSpaceDN w:val="0"/>
              <w:adjustRightInd w:val="0"/>
              <w:jc w:val="both"/>
            </w:pPr>
            <w:r w:rsidRPr="00503A73">
              <w:t>52.5</w:t>
            </w:r>
          </w:p>
        </w:tc>
      </w:tr>
      <w:tr w:rsidR="002365CA" w:rsidRPr="00503A73" w:rsidTr="008D7DD6">
        <w:tc>
          <w:tcPr>
            <w:tcW w:w="2984" w:type="dxa"/>
          </w:tcPr>
          <w:p w:rsidR="002365CA" w:rsidRPr="00503A73" w:rsidRDefault="002365CA" w:rsidP="00CA75A3">
            <w:pPr>
              <w:autoSpaceDE w:val="0"/>
              <w:autoSpaceDN w:val="0"/>
              <w:adjustRightInd w:val="0"/>
              <w:jc w:val="both"/>
            </w:pPr>
            <w:r w:rsidRPr="00503A73">
              <w:t>Total</w:t>
            </w:r>
          </w:p>
        </w:tc>
        <w:tc>
          <w:tcPr>
            <w:tcW w:w="2681" w:type="dxa"/>
          </w:tcPr>
          <w:p w:rsidR="002365CA" w:rsidRPr="00503A73" w:rsidRDefault="002365CA" w:rsidP="00CA75A3">
            <w:pPr>
              <w:autoSpaceDE w:val="0"/>
              <w:autoSpaceDN w:val="0"/>
              <w:adjustRightInd w:val="0"/>
              <w:jc w:val="both"/>
            </w:pPr>
            <w:r w:rsidRPr="00503A73">
              <w:t>512</w:t>
            </w:r>
          </w:p>
        </w:tc>
        <w:tc>
          <w:tcPr>
            <w:tcW w:w="2977" w:type="dxa"/>
          </w:tcPr>
          <w:p w:rsidR="002365CA" w:rsidRPr="00503A73" w:rsidRDefault="002365CA" w:rsidP="00CA75A3">
            <w:pPr>
              <w:autoSpaceDE w:val="0"/>
              <w:autoSpaceDN w:val="0"/>
              <w:adjustRightInd w:val="0"/>
              <w:jc w:val="both"/>
            </w:pPr>
            <w:r w:rsidRPr="00503A73">
              <w:t>100.0</w:t>
            </w:r>
          </w:p>
        </w:tc>
      </w:tr>
    </w:tbl>
    <w:p w:rsidR="008D7DD6" w:rsidRPr="00503A73" w:rsidRDefault="008D7DD6" w:rsidP="00CA75A3">
      <w:pPr>
        <w:autoSpaceDE w:val="0"/>
        <w:autoSpaceDN w:val="0"/>
        <w:adjustRightInd w:val="0"/>
        <w:spacing w:line="480" w:lineRule="auto"/>
        <w:jc w:val="both"/>
      </w:pPr>
    </w:p>
    <w:p w:rsidR="008D7DD6" w:rsidRPr="00503A73" w:rsidRDefault="008D7DD6" w:rsidP="00CA75A3">
      <w:pPr>
        <w:autoSpaceDE w:val="0"/>
        <w:autoSpaceDN w:val="0"/>
        <w:adjustRightInd w:val="0"/>
        <w:spacing w:line="480" w:lineRule="auto"/>
        <w:jc w:val="both"/>
      </w:pPr>
      <w:r w:rsidRPr="00503A73">
        <w:t xml:space="preserve">Table 1. </w:t>
      </w:r>
      <w:r w:rsidR="004004CB" w:rsidRPr="00503A73">
        <w:t>Shows</w:t>
      </w:r>
      <w:r w:rsidRPr="00503A73">
        <w:t xml:space="preserve"> that there are more librarians that possessed an M.Sc./Ph.D- 269(52.5%) than those with BA/</w:t>
      </w:r>
      <w:r w:rsidR="00FA41D4" w:rsidRPr="00503A73">
        <w:t>B.Sc.</w:t>
      </w:r>
      <w:r w:rsidRPr="00503A73">
        <w:t>- 243(47.5%). What it means is that librarians’ has the quest for further knowledge.</w:t>
      </w:r>
    </w:p>
    <w:p w:rsidR="002B2439" w:rsidRPr="00503A73" w:rsidRDefault="002B2439" w:rsidP="00CA75A3">
      <w:pPr>
        <w:autoSpaceDE w:val="0"/>
        <w:autoSpaceDN w:val="0"/>
        <w:adjustRightInd w:val="0"/>
        <w:spacing w:line="480" w:lineRule="auto"/>
        <w:jc w:val="both"/>
        <w:rPr>
          <w:b/>
        </w:rPr>
      </w:pPr>
      <w:r w:rsidRPr="00503A73">
        <w:rPr>
          <w:b/>
        </w:rPr>
        <w:t>Table 2: Mean Responses of the Level of ICT Usag</w:t>
      </w:r>
      <w:r w:rsidR="00B95BD5" w:rsidRPr="00503A73">
        <w:rPr>
          <w:b/>
        </w:rPr>
        <w:t>e by Librarians in University Li</w:t>
      </w:r>
      <w:r w:rsidRPr="00503A73">
        <w:rPr>
          <w:b/>
        </w:rPr>
        <w:t>braries</w:t>
      </w:r>
    </w:p>
    <w:p w:rsidR="00D86CB4" w:rsidRPr="00503A73" w:rsidRDefault="00D86CB4" w:rsidP="00CA75A3">
      <w:pPr>
        <w:autoSpaceDE w:val="0"/>
        <w:autoSpaceDN w:val="0"/>
        <w:adjustRightInd w:val="0"/>
        <w:spacing w:line="480" w:lineRule="auto"/>
        <w:jc w:val="both"/>
        <w:rPr>
          <w:b/>
          <w:bCs/>
          <w:kern w:val="36"/>
        </w:rPr>
      </w:pPr>
      <w:r w:rsidRPr="00503A73">
        <w:rPr>
          <w:b/>
        </w:rPr>
        <w:t>Mean Responses of the Level of ICT Usage by Librarians in University Libraries</w:t>
      </w:r>
    </w:p>
    <w:tbl>
      <w:tblPr>
        <w:tblW w:w="86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9"/>
        <w:gridCol w:w="1009"/>
        <w:gridCol w:w="1009"/>
        <w:gridCol w:w="1770"/>
        <w:gridCol w:w="2410"/>
      </w:tblGrid>
      <w:tr w:rsidR="00D86CB4" w:rsidRPr="00503A73" w:rsidTr="00435C34">
        <w:trPr>
          <w:cantSplit/>
        </w:trPr>
        <w:tc>
          <w:tcPr>
            <w:tcW w:w="8647" w:type="dxa"/>
            <w:gridSpan w:val="5"/>
            <w:tcBorders>
              <w:top w:val="nil"/>
              <w:left w:val="nil"/>
              <w:bottom w:val="nil"/>
              <w:right w:val="nil"/>
            </w:tcBorders>
            <w:shd w:val="clear" w:color="auto" w:fill="FFFFFF"/>
          </w:tcPr>
          <w:p w:rsidR="00D86CB4" w:rsidRPr="00503A73" w:rsidRDefault="00D86CB4" w:rsidP="00CA75A3">
            <w:pPr>
              <w:tabs>
                <w:tab w:val="left" w:pos="345"/>
                <w:tab w:val="center" w:pos="3472"/>
              </w:tabs>
              <w:autoSpaceDE w:val="0"/>
              <w:autoSpaceDN w:val="0"/>
              <w:adjustRightInd w:val="0"/>
              <w:ind w:left="60" w:right="60"/>
              <w:jc w:val="both"/>
              <w:rPr>
                <w:color w:val="000000"/>
              </w:rPr>
            </w:pPr>
            <w:r w:rsidRPr="00503A73">
              <w:rPr>
                <w:b/>
                <w:bCs/>
                <w:color w:val="000000"/>
              </w:rPr>
              <w:tab/>
            </w:r>
            <w:r w:rsidRPr="00503A73">
              <w:rPr>
                <w:b/>
                <w:bCs/>
                <w:color w:val="000000"/>
              </w:rPr>
              <w:tab/>
              <w:t>Descriptive Statistics</w:t>
            </w:r>
          </w:p>
        </w:tc>
      </w:tr>
      <w:tr w:rsidR="00D86CB4" w:rsidRPr="00503A73" w:rsidTr="00435C34">
        <w:trPr>
          <w:cantSplit/>
        </w:trPr>
        <w:tc>
          <w:tcPr>
            <w:tcW w:w="2449" w:type="dxa"/>
            <w:vMerge w:val="restart"/>
            <w:tcBorders>
              <w:top w:val="single" w:sz="16" w:space="0" w:color="000000"/>
              <w:left w:val="single" w:sz="16" w:space="0" w:color="000000"/>
              <w:bottom w:val="nil"/>
              <w:right w:val="single" w:sz="16" w:space="0" w:color="000000"/>
            </w:tcBorders>
            <w:shd w:val="clear" w:color="auto" w:fill="FFFFFF"/>
          </w:tcPr>
          <w:p w:rsidR="00D86CB4" w:rsidRPr="00503A73" w:rsidRDefault="00D86CB4" w:rsidP="00CA75A3">
            <w:pPr>
              <w:autoSpaceDE w:val="0"/>
              <w:autoSpaceDN w:val="0"/>
              <w:adjustRightInd w:val="0"/>
              <w:ind w:left="60" w:right="60"/>
              <w:jc w:val="both"/>
              <w:rPr>
                <w:color w:val="000000"/>
              </w:rPr>
            </w:pPr>
          </w:p>
        </w:tc>
        <w:tc>
          <w:tcPr>
            <w:tcW w:w="1009" w:type="dxa"/>
            <w:tcBorders>
              <w:top w:val="single" w:sz="16" w:space="0" w:color="000000"/>
              <w:left w:val="single" w:sz="16" w:space="0" w:color="000000"/>
            </w:tcBorders>
            <w:shd w:val="clear" w:color="auto" w:fill="FFFFFF"/>
          </w:tcPr>
          <w:p w:rsidR="00D86CB4" w:rsidRPr="00503A73" w:rsidRDefault="00D86CB4" w:rsidP="00CA75A3">
            <w:pPr>
              <w:autoSpaceDE w:val="0"/>
              <w:autoSpaceDN w:val="0"/>
              <w:adjustRightInd w:val="0"/>
              <w:ind w:left="60" w:right="60"/>
              <w:jc w:val="both"/>
              <w:rPr>
                <w:color w:val="000000"/>
              </w:rPr>
            </w:pPr>
            <w:r w:rsidRPr="00503A73">
              <w:rPr>
                <w:color w:val="000000"/>
              </w:rPr>
              <w:t>N</w:t>
            </w:r>
          </w:p>
        </w:tc>
        <w:tc>
          <w:tcPr>
            <w:tcW w:w="2779" w:type="dxa"/>
            <w:gridSpan w:val="2"/>
            <w:tcBorders>
              <w:top w:val="single" w:sz="16" w:space="0" w:color="000000"/>
            </w:tcBorders>
            <w:shd w:val="clear" w:color="auto" w:fill="FFFFFF"/>
          </w:tcPr>
          <w:p w:rsidR="00D86CB4" w:rsidRPr="00503A73" w:rsidRDefault="00D86CB4" w:rsidP="00CA75A3">
            <w:pPr>
              <w:autoSpaceDE w:val="0"/>
              <w:autoSpaceDN w:val="0"/>
              <w:adjustRightInd w:val="0"/>
              <w:ind w:left="60" w:right="60"/>
              <w:jc w:val="both"/>
              <w:rPr>
                <w:color w:val="000000"/>
              </w:rPr>
            </w:pPr>
            <w:r w:rsidRPr="00503A73">
              <w:rPr>
                <w:color w:val="000000"/>
              </w:rPr>
              <w:t>Mean</w:t>
            </w:r>
          </w:p>
        </w:tc>
        <w:tc>
          <w:tcPr>
            <w:tcW w:w="2410" w:type="dxa"/>
            <w:tcBorders>
              <w:top w:val="single" w:sz="16" w:space="0" w:color="000000"/>
              <w:right w:val="single" w:sz="16" w:space="0" w:color="000000"/>
            </w:tcBorders>
            <w:shd w:val="clear" w:color="auto" w:fill="FFFFFF"/>
          </w:tcPr>
          <w:p w:rsidR="00D86CB4" w:rsidRPr="00503A73" w:rsidRDefault="00D86CB4" w:rsidP="00CA75A3">
            <w:pPr>
              <w:autoSpaceDE w:val="0"/>
              <w:autoSpaceDN w:val="0"/>
              <w:adjustRightInd w:val="0"/>
              <w:ind w:left="60" w:right="60"/>
              <w:jc w:val="both"/>
              <w:rPr>
                <w:color w:val="000000"/>
              </w:rPr>
            </w:pPr>
            <w:r w:rsidRPr="00503A73">
              <w:rPr>
                <w:color w:val="000000"/>
              </w:rPr>
              <w:t>Std. Deviation</w:t>
            </w:r>
          </w:p>
        </w:tc>
      </w:tr>
      <w:tr w:rsidR="00D86CB4" w:rsidRPr="00503A73" w:rsidTr="00435C34">
        <w:trPr>
          <w:cantSplit/>
        </w:trPr>
        <w:tc>
          <w:tcPr>
            <w:tcW w:w="2449" w:type="dxa"/>
            <w:vMerge/>
            <w:tcBorders>
              <w:top w:val="single" w:sz="16" w:space="0" w:color="000000"/>
              <w:left w:val="single" w:sz="16" w:space="0" w:color="000000"/>
              <w:bottom w:val="nil"/>
              <w:right w:val="single" w:sz="16" w:space="0" w:color="000000"/>
            </w:tcBorders>
            <w:shd w:val="clear" w:color="auto" w:fill="FFFFFF"/>
          </w:tcPr>
          <w:p w:rsidR="00D86CB4" w:rsidRPr="00503A73" w:rsidRDefault="00D86CB4" w:rsidP="00CA75A3">
            <w:pPr>
              <w:autoSpaceDE w:val="0"/>
              <w:autoSpaceDN w:val="0"/>
              <w:adjustRightInd w:val="0"/>
              <w:jc w:val="both"/>
              <w:rPr>
                <w:color w:val="000000"/>
              </w:rPr>
            </w:pPr>
          </w:p>
        </w:tc>
        <w:tc>
          <w:tcPr>
            <w:tcW w:w="1009" w:type="dxa"/>
            <w:tcBorders>
              <w:left w:val="single" w:sz="16" w:space="0" w:color="000000"/>
              <w:bottom w:val="single" w:sz="16" w:space="0" w:color="000000"/>
            </w:tcBorders>
            <w:shd w:val="clear" w:color="auto" w:fill="FFFFFF"/>
          </w:tcPr>
          <w:p w:rsidR="00D86CB4" w:rsidRPr="00503A73" w:rsidRDefault="00D86CB4" w:rsidP="00CA75A3">
            <w:pPr>
              <w:autoSpaceDE w:val="0"/>
              <w:autoSpaceDN w:val="0"/>
              <w:adjustRightInd w:val="0"/>
              <w:ind w:left="60" w:right="60"/>
              <w:jc w:val="both"/>
              <w:rPr>
                <w:color w:val="000000"/>
              </w:rPr>
            </w:pPr>
            <w:r w:rsidRPr="00503A73">
              <w:rPr>
                <w:color w:val="000000"/>
              </w:rPr>
              <w:t>Statistic</w:t>
            </w:r>
          </w:p>
        </w:tc>
        <w:tc>
          <w:tcPr>
            <w:tcW w:w="1009" w:type="dxa"/>
            <w:tcBorders>
              <w:bottom w:val="single" w:sz="16" w:space="0" w:color="000000"/>
            </w:tcBorders>
            <w:shd w:val="clear" w:color="auto" w:fill="FFFFFF"/>
          </w:tcPr>
          <w:p w:rsidR="00D86CB4" w:rsidRPr="00503A73" w:rsidRDefault="00D86CB4" w:rsidP="00CA75A3">
            <w:pPr>
              <w:autoSpaceDE w:val="0"/>
              <w:autoSpaceDN w:val="0"/>
              <w:adjustRightInd w:val="0"/>
              <w:ind w:left="60" w:right="60"/>
              <w:jc w:val="both"/>
              <w:rPr>
                <w:color w:val="000000"/>
              </w:rPr>
            </w:pPr>
            <w:r w:rsidRPr="00503A73">
              <w:rPr>
                <w:color w:val="000000"/>
              </w:rPr>
              <w:t>Statistic</w:t>
            </w:r>
          </w:p>
        </w:tc>
        <w:tc>
          <w:tcPr>
            <w:tcW w:w="1770" w:type="dxa"/>
            <w:tcBorders>
              <w:bottom w:val="single" w:sz="16" w:space="0" w:color="000000"/>
            </w:tcBorders>
            <w:shd w:val="clear" w:color="auto" w:fill="FFFFFF"/>
          </w:tcPr>
          <w:p w:rsidR="00D86CB4" w:rsidRPr="00503A73" w:rsidRDefault="00D86CB4" w:rsidP="00CA75A3">
            <w:pPr>
              <w:autoSpaceDE w:val="0"/>
              <w:autoSpaceDN w:val="0"/>
              <w:adjustRightInd w:val="0"/>
              <w:ind w:left="60" w:right="60"/>
              <w:jc w:val="both"/>
              <w:rPr>
                <w:color w:val="000000"/>
              </w:rPr>
            </w:pPr>
            <w:r w:rsidRPr="00503A73">
              <w:rPr>
                <w:color w:val="000000"/>
              </w:rPr>
              <w:t>Std. Error</w:t>
            </w:r>
          </w:p>
        </w:tc>
        <w:tc>
          <w:tcPr>
            <w:tcW w:w="2410" w:type="dxa"/>
            <w:tcBorders>
              <w:bottom w:val="single" w:sz="16" w:space="0" w:color="000000"/>
              <w:right w:val="single" w:sz="16" w:space="0" w:color="000000"/>
            </w:tcBorders>
            <w:shd w:val="clear" w:color="auto" w:fill="FFFFFF"/>
          </w:tcPr>
          <w:p w:rsidR="00D86CB4" w:rsidRPr="00503A73" w:rsidRDefault="00D86CB4" w:rsidP="00CA75A3">
            <w:pPr>
              <w:autoSpaceDE w:val="0"/>
              <w:autoSpaceDN w:val="0"/>
              <w:adjustRightInd w:val="0"/>
              <w:ind w:left="60" w:right="60"/>
              <w:jc w:val="both"/>
              <w:rPr>
                <w:color w:val="000000"/>
              </w:rPr>
            </w:pPr>
            <w:r w:rsidRPr="00503A73">
              <w:rPr>
                <w:color w:val="000000"/>
              </w:rPr>
              <w:t>Statistic</w:t>
            </w:r>
          </w:p>
        </w:tc>
      </w:tr>
      <w:tr w:rsidR="00D86CB4" w:rsidRPr="00503A73" w:rsidTr="00435C34">
        <w:trPr>
          <w:cantSplit/>
        </w:trPr>
        <w:tc>
          <w:tcPr>
            <w:tcW w:w="2449" w:type="dxa"/>
            <w:tcBorders>
              <w:top w:val="single" w:sz="16" w:space="0" w:color="000000"/>
              <w:left w:val="single" w:sz="16" w:space="0" w:color="000000"/>
              <w:bottom w:val="nil"/>
              <w:right w:val="single" w:sz="16" w:space="0" w:color="000000"/>
            </w:tcBorders>
            <w:shd w:val="clear" w:color="auto" w:fill="FFFFFF"/>
            <w:vAlign w:val="center"/>
          </w:tcPr>
          <w:p w:rsidR="00D86CB4" w:rsidRPr="00503A73" w:rsidRDefault="00D86CB4" w:rsidP="00CA75A3">
            <w:pPr>
              <w:autoSpaceDE w:val="0"/>
              <w:autoSpaceDN w:val="0"/>
              <w:adjustRightInd w:val="0"/>
              <w:ind w:left="60" w:right="60"/>
              <w:jc w:val="both"/>
              <w:rPr>
                <w:color w:val="000000"/>
              </w:rPr>
            </w:pPr>
            <w:r w:rsidRPr="00503A73">
              <w:rPr>
                <w:color w:val="000000"/>
              </w:rPr>
              <w:t>Level of ICT Hardware Usage by the Librarians</w:t>
            </w:r>
          </w:p>
        </w:tc>
        <w:tc>
          <w:tcPr>
            <w:tcW w:w="1009" w:type="dxa"/>
            <w:tcBorders>
              <w:top w:val="single" w:sz="16" w:space="0" w:color="000000"/>
              <w:left w:val="single" w:sz="16" w:space="0" w:color="000000"/>
              <w:bottom w:val="nil"/>
            </w:tcBorders>
            <w:shd w:val="clear" w:color="auto" w:fill="FFFFFF"/>
            <w:vAlign w:val="center"/>
          </w:tcPr>
          <w:p w:rsidR="00D86CB4" w:rsidRPr="00503A73" w:rsidRDefault="00D86CB4" w:rsidP="00CA75A3">
            <w:pPr>
              <w:autoSpaceDE w:val="0"/>
              <w:autoSpaceDN w:val="0"/>
              <w:adjustRightInd w:val="0"/>
              <w:ind w:left="60" w:right="60"/>
              <w:jc w:val="both"/>
              <w:rPr>
                <w:color w:val="000000"/>
              </w:rPr>
            </w:pPr>
            <w:r w:rsidRPr="00503A73">
              <w:rPr>
                <w:color w:val="000000"/>
              </w:rPr>
              <w:t>512</w:t>
            </w:r>
          </w:p>
        </w:tc>
        <w:tc>
          <w:tcPr>
            <w:tcW w:w="1009" w:type="dxa"/>
            <w:tcBorders>
              <w:top w:val="single" w:sz="16" w:space="0" w:color="000000"/>
              <w:bottom w:val="nil"/>
            </w:tcBorders>
            <w:shd w:val="clear" w:color="auto" w:fill="FFFFFF"/>
            <w:vAlign w:val="center"/>
          </w:tcPr>
          <w:p w:rsidR="00D86CB4" w:rsidRPr="00503A73" w:rsidRDefault="00D86CB4" w:rsidP="00CA75A3">
            <w:pPr>
              <w:autoSpaceDE w:val="0"/>
              <w:autoSpaceDN w:val="0"/>
              <w:adjustRightInd w:val="0"/>
              <w:ind w:left="60" w:right="60"/>
              <w:jc w:val="both"/>
              <w:rPr>
                <w:color w:val="000000"/>
              </w:rPr>
            </w:pPr>
            <w:r w:rsidRPr="00503A73">
              <w:rPr>
                <w:color w:val="000000"/>
              </w:rPr>
              <w:t>3.13</w:t>
            </w:r>
          </w:p>
        </w:tc>
        <w:tc>
          <w:tcPr>
            <w:tcW w:w="1770" w:type="dxa"/>
            <w:tcBorders>
              <w:top w:val="single" w:sz="16" w:space="0" w:color="000000"/>
              <w:bottom w:val="nil"/>
            </w:tcBorders>
            <w:shd w:val="clear" w:color="auto" w:fill="FFFFFF"/>
            <w:vAlign w:val="center"/>
          </w:tcPr>
          <w:p w:rsidR="00D86CB4" w:rsidRPr="00503A73" w:rsidRDefault="00D86CB4" w:rsidP="00CA75A3">
            <w:pPr>
              <w:autoSpaceDE w:val="0"/>
              <w:autoSpaceDN w:val="0"/>
              <w:adjustRightInd w:val="0"/>
              <w:ind w:left="60" w:right="60"/>
              <w:jc w:val="both"/>
              <w:rPr>
                <w:color w:val="000000"/>
              </w:rPr>
            </w:pPr>
            <w:r w:rsidRPr="00503A73">
              <w:rPr>
                <w:color w:val="000000"/>
              </w:rPr>
              <w:t>.039</w:t>
            </w:r>
          </w:p>
        </w:tc>
        <w:tc>
          <w:tcPr>
            <w:tcW w:w="2410" w:type="dxa"/>
            <w:tcBorders>
              <w:top w:val="single" w:sz="16" w:space="0" w:color="000000"/>
              <w:bottom w:val="nil"/>
              <w:right w:val="single" w:sz="16" w:space="0" w:color="000000"/>
            </w:tcBorders>
            <w:shd w:val="clear" w:color="auto" w:fill="FFFFFF"/>
            <w:vAlign w:val="center"/>
          </w:tcPr>
          <w:p w:rsidR="00D86CB4" w:rsidRPr="00503A73" w:rsidRDefault="00D86CB4" w:rsidP="00CA75A3">
            <w:pPr>
              <w:autoSpaceDE w:val="0"/>
              <w:autoSpaceDN w:val="0"/>
              <w:adjustRightInd w:val="0"/>
              <w:ind w:left="60" w:right="60"/>
              <w:jc w:val="both"/>
              <w:rPr>
                <w:color w:val="000000"/>
              </w:rPr>
            </w:pPr>
            <w:r w:rsidRPr="00503A73">
              <w:rPr>
                <w:color w:val="000000"/>
              </w:rPr>
              <w:t>.872</w:t>
            </w:r>
          </w:p>
        </w:tc>
      </w:tr>
      <w:tr w:rsidR="00D86CB4" w:rsidRPr="00503A73" w:rsidTr="00435C34">
        <w:trPr>
          <w:cantSplit/>
        </w:trPr>
        <w:tc>
          <w:tcPr>
            <w:tcW w:w="2449" w:type="dxa"/>
            <w:tcBorders>
              <w:top w:val="nil"/>
              <w:left w:val="single" w:sz="16" w:space="0" w:color="000000"/>
              <w:bottom w:val="single" w:sz="16" w:space="0" w:color="000000"/>
              <w:right w:val="single" w:sz="16" w:space="0" w:color="000000"/>
            </w:tcBorders>
            <w:shd w:val="clear" w:color="auto" w:fill="FFFFFF"/>
            <w:vAlign w:val="center"/>
          </w:tcPr>
          <w:p w:rsidR="00D86CB4" w:rsidRPr="00503A73" w:rsidRDefault="00D86CB4" w:rsidP="00CA75A3">
            <w:pPr>
              <w:autoSpaceDE w:val="0"/>
              <w:autoSpaceDN w:val="0"/>
              <w:adjustRightInd w:val="0"/>
              <w:ind w:left="60" w:right="60"/>
              <w:jc w:val="both"/>
              <w:rPr>
                <w:color w:val="000000"/>
              </w:rPr>
            </w:pPr>
            <w:r w:rsidRPr="00503A73">
              <w:rPr>
                <w:color w:val="000000"/>
              </w:rPr>
              <w:t>Valid N (</w:t>
            </w:r>
            <w:proofErr w:type="spellStart"/>
            <w:r w:rsidRPr="00503A73">
              <w:rPr>
                <w:color w:val="000000"/>
              </w:rPr>
              <w:t>listwise</w:t>
            </w:r>
            <w:proofErr w:type="spellEnd"/>
            <w:r w:rsidRPr="00503A73">
              <w:rPr>
                <w:color w:val="000000"/>
              </w:rPr>
              <w:t>)</w:t>
            </w:r>
          </w:p>
        </w:tc>
        <w:tc>
          <w:tcPr>
            <w:tcW w:w="1009" w:type="dxa"/>
            <w:tcBorders>
              <w:top w:val="nil"/>
              <w:left w:val="single" w:sz="16" w:space="0" w:color="000000"/>
              <w:bottom w:val="single" w:sz="16" w:space="0" w:color="000000"/>
            </w:tcBorders>
            <w:shd w:val="clear" w:color="auto" w:fill="FFFFFF"/>
            <w:vAlign w:val="center"/>
          </w:tcPr>
          <w:p w:rsidR="00D86CB4" w:rsidRPr="00503A73" w:rsidRDefault="00D86CB4" w:rsidP="00CA75A3">
            <w:pPr>
              <w:autoSpaceDE w:val="0"/>
              <w:autoSpaceDN w:val="0"/>
              <w:adjustRightInd w:val="0"/>
              <w:ind w:left="60" w:right="60"/>
              <w:jc w:val="both"/>
              <w:rPr>
                <w:color w:val="000000"/>
              </w:rPr>
            </w:pPr>
            <w:r w:rsidRPr="00503A73">
              <w:rPr>
                <w:color w:val="000000"/>
              </w:rPr>
              <w:t>512</w:t>
            </w:r>
          </w:p>
        </w:tc>
        <w:tc>
          <w:tcPr>
            <w:tcW w:w="1009" w:type="dxa"/>
            <w:tcBorders>
              <w:top w:val="nil"/>
              <w:bottom w:val="single" w:sz="16" w:space="0" w:color="000000"/>
            </w:tcBorders>
            <w:shd w:val="clear" w:color="auto" w:fill="FFFFFF"/>
          </w:tcPr>
          <w:p w:rsidR="00D86CB4" w:rsidRPr="00503A73" w:rsidRDefault="00D86CB4" w:rsidP="00CA75A3">
            <w:pPr>
              <w:autoSpaceDE w:val="0"/>
              <w:autoSpaceDN w:val="0"/>
              <w:adjustRightInd w:val="0"/>
              <w:jc w:val="both"/>
            </w:pPr>
          </w:p>
        </w:tc>
        <w:tc>
          <w:tcPr>
            <w:tcW w:w="1770" w:type="dxa"/>
            <w:tcBorders>
              <w:top w:val="nil"/>
              <w:bottom w:val="single" w:sz="16" w:space="0" w:color="000000"/>
            </w:tcBorders>
            <w:shd w:val="clear" w:color="auto" w:fill="FFFFFF"/>
          </w:tcPr>
          <w:p w:rsidR="00D86CB4" w:rsidRPr="00503A73" w:rsidRDefault="00D86CB4" w:rsidP="00CA75A3">
            <w:pPr>
              <w:autoSpaceDE w:val="0"/>
              <w:autoSpaceDN w:val="0"/>
              <w:adjustRightInd w:val="0"/>
              <w:jc w:val="both"/>
            </w:pPr>
          </w:p>
        </w:tc>
        <w:tc>
          <w:tcPr>
            <w:tcW w:w="2410" w:type="dxa"/>
            <w:tcBorders>
              <w:top w:val="nil"/>
              <w:bottom w:val="single" w:sz="16" w:space="0" w:color="000000"/>
              <w:right w:val="single" w:sz="16" w:space="0" w:color="000000"/>
            </w:tcBorders>
            <w:shd w:val="clear" w:color="auto" w:fill="FFFFFF"/>
          </w:tcPr>
          <w:p w:rsidR="00D86CB4" w:rsidRPr="00503A73" w:rsidRDefault="00D86CB4" w:rsidP="00CA75A3">
            <w:pPr>
              <w:autoSpaceDE w:val="0"/>
              <w:autoSpaceDN w:val="0"/>
              <w:adjustRightInd w:val="0"/>
              <w:jc w:val="both"/>
            </w:pPr>
          </w:p>
        </w:tc>
      </w:tr>
    </w:tbl>
    <w:p w:rsidR="00D86CB4" w:rsidRPr="00503A73" w:rsidRDefault="00D86CB4" w:rsidP="00CA75A3">
      <w:pPr>
        <w:autoSpaceDE w:val="0"/>
        <w:autoSpaceDN w:val="0"/>
        <w:adjustRightInd w:val="0"/>
        <w:jc w:val="both"/>
        <w:rPr>
          <w:b/>
        </w:rPr>
      </w:pPr>
    </w:p>
    <w:p w:rsidR="00D86CB4" w:rsidRPr="00503A73" w:rsidRDefault="00D86CB4" w:rsidP="00CA75A3">
      <w:pPr>
        <w:spacing w:line="480" w:lineRule="auto"/>
        <w:jc w:val="both"/>
        <w:rPr>
          <w:bCs/>
          <w:kern w:val="36"/>
        </w:rPr>
      </w:pPr>
      <w:r w:rsidRPr="00503A73">
        <w:rPr>
          <w:bCs/>
          <w:kern w:val="36"/>
        </w:rPr>
        <w:t xml:space="preserve">With a mean statistic of 3.13 which is above acceptance point of 3.00, it therefore means that librarians in university libraries in the South-South and South-West regions of Nigeria moderately use ICT hardware in the university libraries. The study found that librarians in university libraries in the South-South and South-West moderately use ICT hardware in university libraries, the finding agree with a related findings by   </w:t>
      </w:r>
      <w:proofErr w:type="spellStart"/>
      <w:r w:rsidRPr="00503A73">
        <w:t>Yacob</w:t>
      </w:r>
      <w:proofErr w:type="spellEnd"/>
      <w:r w:rsidRPr="00503A73">
        <w:t xml:space="preserve"> (1990) who studied the attitudes and perceptions of 120 librarians in government supported special libraries in Malaysia. He examined the extent of application of information and communication technology hardware, their use patterns relationship among the librarians, attitudes toward information and communication technology and other variables. A significant relationship was determined between the librarians’ attitudes and the amount of expenditure of information and communication technology hardware, available in the libraries and librarians awareness of the potential of information and communication technology hardware. Variables like the size of the library, the library budget, the staff size, age, </w:t>
      </w:r>
      <w:r w:rsidRPr="00503A73">
        <w:lastRenderedPageBreak/>
        <w:t>decency of attaining professional qualifications and knowledge in information technology had significant relationship with librarians’ attitudes. The study revealed that knowledge in technology, library budget, the size of the library collection and staff was good predictors of librarians’ attitudes toward information technology (</w:t>
      </w:r>
      <w:proofErr w:type="spellStart"/>
      <w:r w:rsidRPr="00503A73">
        <w:t>Ramzan</w:t>
      </w:r>
      <w:proofErr w:type="spellEnd"/>
      <w:r w:rsidRPr="00503A73">
        <w:t>, 2004).</w:t>
      </w:r>
    </w:p>
    <w:p w:rsidR="004E4015" w:rsidRPr="00503A73" w:rsidRDefault="004E4015" w:rsidP="00CA75A3">
      <w:pPr>
        <w:autoSpaceDE w:val="0"/>
        <w:autoSpaceDN w:val="0"/>
        <w:adjustRightInd w:val="0"/>
        <w:jc w:val="both"/>
        <w:rPr>
          <w:b/>
        </w:rPr>
      </w:pPr>
      <w:r w:rsidRPr="00503A73">
        <w:rPr>
          <w:b/>
        </w:rPr>
        <w:t xml:space="preserve">Research Question </w:t>
      </w:r>
    </w:p>
    <w:p w:rsidR="004E4015" w:rsidRPr="00503A73" w:rsidRDefault="004E4015" w:rsidP="00CA75A3">
      <w:pPr>
        <w:autoSpaceDE w:val="0"/>
        <w:autoSpaceDN w:val="0"/>
        <w:adjustRightInd w:val="0"/>
        <w:jc w:val="both"/>
        <w:rPr>
          <w:b/>
        </w:rPr>
      </w:pPr>
    </w:p>
    <w:p w:rsidR="004E4015" w:rsidRPr="00503A73" w:rsidRDefault="004E4015" w:rsidP="00CA75A3">
      <w:pPr>
        <w:autoSpaceDE w:val="0"/>
        <w:autoSpaceDN w:val="0"/>
        <w:adjustRightInd w:val="0"/>
        <w:jc w:val="both"/>
      </w:pPr>
      <w:r w:rsidRPr="00503A73">
        <w:t>To what extent does educational qualification affect the use of ICT by librarians?</w:t>
      </w:r>
    </w:p>
    <w:p w:rsidR="004E4015" w:rsidRPr="00503A73" w:rsidRDefault="004E4015" w:rsidP="00CA75A3">
      <w:pPr>
        <w:autoSpaceDE w:val="0"/>
        <w:autoSpaceDN w:val="0"/>
        <w:adjustRightInd w:val="0"/>
        <w:jc w:val="both"/>
      </w:pPr>
    </w:p>
    <w:p w:rsidR="004E4015" w:rsidRPr="00503A73" w:rsidRDefault="004E4015" w:rsidP="00CA75A3">
      <w:pPr>
        <w:pStyle w:val="NoSpacing"/>
        <w:spacing w:line="480" w:lineRule="auto"/>
        <w:jc w:val="both"/>
      </w:pPr>
      <w:r w:rsidRPr="00503A73">
        <w:t>To ascertain the extent of the educational qualification of librar</w:t>
      </w:r>
      <w:r w:rsidR="00671AFD" w:rsidRPr="00503A73">
        <w:t>ians and the use of ICT</w:t>
      </w:r>
      <w:r w:rsidRPr="00503A73">
        <w:t xml:space="preserve">, the scores of the educational qualification of Librarians were cross tabulated with the level of </w:t>
      </w:r>
      <w:r w:rsidR="00452332" w:rsidRPr="00503A73">
        <w:t>ICT usage</w:t>
      </w:r>
      <w:r w:rsidRPr="00503A73">
        <w:t xml:space="preserve"> by the librarians and t</w:t>
      </w:r>
      <w:r w:rsidR="00876763" w:rsidRPr="00503A73">
        <w:t>he result is shown in Table 3</w:t>
      </w:r>
      <w:r w:rsidR="004F2D12" w:rsidRPr="00503A73">
        <w:t>.</w:t>
      </w:r>
    </w:p>
    <w:p w:rsidR="00FF0141" w:rsidRPr="00503A73" w:rsidRDefault="00712089" w:rsidP="00CA75A3">
      <w:pPr>
        <w:jc w:val="both"/>
        <w:rPr>
          <w:b/>
        </w:rPr>
      </w:pPr>
      <w:r w:rsidRPr="00503A73">
        <w:rPr>
          <w:b/>
        </w:rPr>
        <w:t>Table 3</w:t>
      </w:r>
      <w:r w:rsidR="00FF0141" w:rsidRPr="00503A73">
        <w:rPr>
          <w:b/>
        </w:rPr>
        <w:t>: Correlation result between the Educational Qualification of Librarians and the usage of ICT Hardware</w:t>
      </w:r>
    </w:p>
    <w:tbl>
      <w:tblPr>
        <w:tblW w:w="8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8"/>
        <w:gridCol w:w="1974"/>
        <w:gridCol w:w="1468"/>
        <w:gridCol w:w="2615"/>
      </w:tblGrid>
      <w:tr w:rsidR="00FF0141" w:rsidRPr="00503A73" w:rsidTr="00671AFD">
        <w:trPr>
          <w:cantSplit/>
        </w:trPr>
        <w:tc>
          <w:tcPr>
            <w:tcW w:w="8505" w:type="dxa"/>
            <w:gridSpan w:val="4"/>
            <w:tcBorders>
              <w:top w:val="nil"/>
              <w:left w:val="nil"/>
              <w:bottom w:val="nil"/>
              <w:right w:val="nil"/>
            </w:tcBorders>
            <w:shd w:val="clear" w:color="auto" w:fill="FFFFFF"/>
          </w:tcPr>
          <w:p w:rsidR="00FF0141" w:rsidRPr="00503A73" w:rsidRDefault="00FF0141" w:rsidP="00CA75A3">
            <w:pPr>
              <w:autoSpaceDE w:val="0"/>
              <w:autoSpaceDN w:val="0"/>
              <w:adjustRightInd w:val="0"/>
              <w:ind w:left="60" w:right="60"/>
              <w:jc w:val="both"/>
              <w:rPr>
                <w:color w:val="000000"/>
              </w:rPr>
            </w:pPr>
            <w:r w:rsidRPr="00503A73">
              <w:rPr>
                <w:b/>
                <w:bCs/>
                <w:color w:val="000000"/>
              </w:rPr>
              <w:t>Correlations</w:t>
            </w:r>
          </w:p>
        </w:tc>
      </w:tr>
      <w:tr w:rsidR="00FF0141" w:rsidRPr="00503A73" w:rsidTr="00671AFD">
        <w:trPr>
          <w:cantSplit/>
        </w:trPr>
        <w:tc>
          <w:tcPr>
            <w:tcW w:w="4422" w:type="dxa"/>
            <w:gridSpan w:val="2"/>
            <w:tcBorders>
              <w:top w:val="single" w:sz="16" w:space="0" w:color="000000"/>
              <w:left w:val="single" w:sz="16" w:space="0" w:color="000000"/>
              <w:bottom w:val="single" w:sz="16" w:space="0" w:color="000000"/>
              <w:right w:val="nil"/>
            </w:tcBorders>
            <w:shd w:val="clear" w:color="auto" w:fill="FFFFFF"/>
          </w:tcPr>
          <w:p w:rsidR="00FF0141" w:rsidRPr="00503A73" w:rsidRDefault="00FF0141" w:rsidP="00CA75A3">
            <w:pPr>
              <w:autoSpaceDE w:val="0"/>
              <w:autoSpaceDN w:val="0"/>
              <w:adjustRightInd w:val="0"/>
              <w:ind w:left="60" w:right="60"/>
              <w:jc w:val="both"/>
              <w:rPr>
                <w:color w:val="000000"/>
              </w:rPr>
            </w:pPr>
          </w:p>
        </w:tc>
        <w:tc>
          <w:tcPr>
            <w:tcW w:w="1468" w:type="dxa"/>
            <w:tcBorders>
              <w:top w:val="single" w:sz="16" w:space="0" w:color="000000"/>
              <w:left w:val="single" w:sz="16" w:space="0" w:color="000000"/>
              <w:bottom w:val="single" w:sz="16" w:space="0" w:color="000000"/>
            </w:tcBorders>
            <w:shd w:val="clear" w:color="auto" w:fill="FFFFFF"/>
          </w:tcPr>
          <w:p w:rsidR="00FF0141" w:rsidRPr="00503A73" w:rsidRDefault="00FF0141" w:rsidP="00CA75A3">
            <w:pPr>
              <w:autoSpaceDE w:val="0"/>
              <w:autoSpaceDN w:val="0"/>
              <w:adjustRightInd w:val="0"/>
              <w:ind w:left="60" w:right="60"/>
              <w:jc w:val="both"/>
              <w:rPr>
                <w:color w:val="000000"/>
              </w:rPr>
            </w:pPr>
            <w:r w:rsidRPr="00503A73">
              <w:rPr>
                <w:color w:val="000000"/>
              </w:rPr>
              <w:t>Educational Qualification</w:t>
            </w:r>
          </w:p>
        </w:tc>
        <w:tc>
          <w:tcPr>
            <w:tcW w:w="2615" w:type="dxa"/>
            <w:tcBorders>
              <w:top w:val="single" w:sz="16" w:space="0" w:color="000000"/>
              <w:bottom w:val="single" w:sz="16" w:space="0" w:color="000000"/>
              <w:right w:val="single" w:sz="16" w:space="0" w:color="000000"/>
            </w:tcBorders>
            <w:shd w:val="clear" w:color="auto" w:fill="FFFFFF"/>
          </w:tcPr>
          <w:p w:rsidR="00FF0141" w:rsidRPr="00503A73" w:rsidRDefault="00FF0141" w:rsidP="00CA75A3">
            <w:pPr>
              <w:autoSpaceDE w:val="0"/>
              <w:autoSpaceDN w:val="0"/>
              <w:adjustRightInd w:val="0"/>
              <w:ind w:left="60" w:right="60"/>
              <w:jc w:val="both"/>
              <w:rPr>
                <w:color w:val="000000"/>
              </w:rPr>
            </w:pPr>
            <w:r w:rsidRPr="00503A73">
              <w:rPr>
                <w:color w:val="000000"/>
              </w:rPr>
              <w:t>Level of ICT Hardware Usage by the Librarians</w:t>
            </w:r>
          </w:p>
        </w:tc>
      </w:tr>
      <w:tr w:rsidR="00FF0141" w:rsidRPr="00503A73" w:rsidTr="00671AFD">
        <w:trPr>
          <w:cantSplit/>
        </w:trPr>
        <w:tc>
          <w:tcPr>
            <w:tcW w:w="2448" w:type="dxa"/>
            <w:vMerge w:val="restart"/>
            <w:tcBorders>
              <w:top w:val="single" w:sz="16" w:space="0" w:color="000000"/>
              <w:left w:val="single" w:sz="16" w:space="0" w:color="000000"/>
              <w:bottom w:val="nil"/>
              <w:right w:val="nil"/>
            </w:tcBorders>
            <w:shd w:val="clear" w:color="auto" w:fill="FFFFFF"/>
            <w:vAlign w:val="center"/>
          </w:tcPr>
          <w:p w:rsidR="00FF0141" w:rsidRPr="00503A73" w:rsidRDefault="00FF0141" w:rsidP="00CA75A3">
            <w:pPr>
              <w:autoSpaceDE w:val="0"/>
              <w:autoSpaceDN w:val="0"/>
              <w:adjustRightInd w:val="0"/>
              <w:ind w:left="60" w:right="60"/>
              <w:jc w:val="both"/>
              <w:rPr>
                <w:color w:val="000000"/>
              </w:rPr>
            </w:pPr>
            <w:r w:rsidRPr="00503A73">
              <w:rPr>
                <w:color w:val="000000"/>
              </w:rPr>
              <w:t>Educational Qualification</w:t>
            </w:r>
          </w:p>
        </w:tc>
        <w:tc>
          <w:tcPr>
            <w:tcW w:w="1974" w:type="dxa"/>
            <w:tcBorders>
              <w:top w:val="single" w:sz="16" w:space="0" w:color="000000"/>
              <w:left w:val="nil"/>
              <w:bottom w:val="nil"/>
              <w:right w:val="single" w:sz="16" w:space="0" w:color="000000"/>
            </w:tcBorders>
            <w:shd w:val="clear" w:color="auto" w:fill="FFFFFF"/>
            <w:vAlign w:val="center"/>
          </w:tcPr>
          <w:p w:rsidR="00FF0141" w:rsidRPr="00503A73" w:rsidRDefault="00FF0141" w:rsidP="00CA75A3">
            <w:pPr>
              <w:autoSpaceDE w:val="0"/>
              <w:autoSpaceDN w:val="0"/>
              <w:adjustRightInd w:val="0"/>
              <w:ind w:left="60" w:right="60"/>
              <w:jc w:val="both"/>
              <w:rPr>
                <w:color w:val="000000"/>
              </w:rPr>
            </w:pPr>
            <w:r w:rsidRPr="00503A73">
              <w:rPr>
                <w:color w:val="000000"/>
              </w:rPr>
              <w:t>Pearson Correlation</w:t>
            </w:r>
          </w:p>
        </w:tc>
        <w:tc>
          <w:tcPr>
            <w:tcW w:w="1468" w:type="dxa"/>
            <w:tcBorders>
              <w:top w:val="single" w:sz="16" w:space="0" w:color="000000"/>
              <w:left w:val="single" w:sz="16" w:space="0" w:color="000000"/>
              <w:bottom w:val="nil"/>
            </w:tcBorders>
            <w:shd w:val="clear" w:color="auto" w:fill="FFFFFF"/>
            <w:vAlign w:val="center"/>
          </w:tcPr>
          <w:p w:rsidR="00FF0141" w:rsidRPr="00503A73" w:rsidRDefault="00FF0141" w:rsidP="00CA75A3">
            <w:pPr>
              <w:autoSpaceDE w:val="0"/>
              <w:autoSpaceDN w:val="0"/>
              <w:adjustRightInd w:val="0"/>
              <w:ind w:left="60" w:right="60"/>
              <w:jc w:val="both"/>
              <w:rPr>
                <w:color w:val="000000"/>
              </w:rPr>
            </w:pPr>
            <w:r w:rsidRPr="00503A73">
              <w:rPr>
                <w:color w:val="000000"/>
              </w:rPr>
              <w:t>1</w:t>
            </w:r>
          </w:p>
        </w:tc>
        <w:tc>
          <w:tcPr>
            <w:tcW w:w="2615" w:type="dxa"/>
            <w:tcBorders>
              <w:top w:val="single" w:sz="16" w:space="0" w:color="000000"/>
              <w:bottom w:val="nil"/>
              <w:right w:val="single" w:sz="16" w:space="0" w:color="000000"/>
            </w:tcBorders>
            <w:shd w:val="clear" w:color="auto" w:fill="FFFFFF"/>
            <w:vAlign w:val="center"/>
          </w:tcPr>
          <w:p w:rsidR="00FF0141" w:rsidRPr="00503A73" w:rsidRDefault="00FF0141" w:rsidP="00CA75A3">
            <w:pPr>
              <w:autoSpaceDE w:val="0"/>
              <w:autoSpaceDN w:val="0"/>
              <w:adjustRightInd w:val="0"/>
              <w:ind w:left="60" w:right="60"/>
              <w:jc w:val="both"/>
              <w:rPr>
                <w:color w:val="000000"/>
              </w:rPr>
            </w:pPr>
            <w:r w:rsidRPr="00503A73">
              <w:rPr>
                <w:color w:val="000000"/>
              </w:rPr>
              <w:t>.522</w:t>
            </w:r>
            <w:r w:rsidRPr="00503A73">
              <w:rPr>
                <w:color w:val="000000"/>
                <w:vertAlign w:val="superscript"/>
              </w:rPr>
              <w:t>**</w:t>
            </w:r>
          </w:p>
        </w:tc>
      </w:tr>
      <w:tr w:rsidR="00FF0141" w:rsidRPr="00503A73" w:rsidTr="00671AFD">
        <w:trPr>
          <w:cantSplit/>
        </w:trPr>
        <w:tc>
          <w:tcPr>
            <w:tcW w:w="2448" w:type="dxa"/>
            <w:vMerge/>
            <w:tcBorders>
              <w:top w:val="single" w:sz="16" w:space="0" w:color="000000"/>
              <w:left w:val="single" w:sz="16" w:space="0" w:color="000000"/>
              <w:bottom w:val="nil"/>
              <w:right w:val="nil"/>
            </w:tcBorders>
            <w:shd w:val="clear" w:color="auto" w:fill="FFFFFF"/>
            <w:vAlign w:val="center"/>
          </w:tcPr>
          <w:p w:rsidR="00FF0141" w:rsidRPr="00503A73" w:rsidRDefault="00FF0141" w:rsidP="00CA75A3">
            <w:pPr>
              <w:autoSpaceDE w:val="0"/>
              <w:autoSpaceDN w:val="0"/>
              <w:adjustRightInd w:val="0"/>
              <w:jc w:val="both"/>
              <w:rPr>
                <w:color w:val="000000"/>
              </w:rPr>
            </w:pPr>
          </w:p>
        </w:tc>
        <w:tc>
          <w:tcPr>
            <w:tcW w:w="1974" w:type="dxa"/>
            <w:tcBorders>
              <w:top w:val="nil"/>
              <w:left w:val="nil"/>
              <w:bottom w:val="nil"/>
              <w:right w:val="single" w:sz="16" w:space="0" w:color="000000"/>
            </w:tcBorders>
            <w:shd w:val="clear" w:color="auto" w:fill="FFFFFF"/>
            <w:vAlign w:val="center"/>
          </w:tcPr>
          <w:p w:rsidR="00FF0141" w:rsidRPr="00503A73" w:rsidRDefault="00FF0141" w:rsidP="00CA75A3">
            <w:pPr>
              <w:autoSpaceDE w:val="0"/>
              <w:autoSpaceDN w:val="0"/>
              <w:adjustRightInd w:val="0"/>
              <w:ind w:left="60" w:right="60"/>
              <w:jc w:val="both"/>
              <w:rPr>
                <w:color w:val="000000"/>
              </w:rPr>
            </w:pPr>
            <w:r w:rsidRPr="00503A73">
              <w:rPr>
                <w:color w:val="000000"/>
              </w:rPr>
              <w:t>Sig. (2-tailed)</w:t>
            </w:r>
          </w:p>
        </w:tc>
        <w:tc>
          <w:tcPr>
            <w:tcW w:w="1468" w:type="dxa"/>
            <w:tcBorders>
              <w:top w:val="nil"/>
              <w:left w:val="single" w:sz="16" w:space="0" w:color="000000"/>
              <w:bottom w:val="nil"/>
            </w:tcBorders>
            <w:shd w:val="clear" w:color="auto" w:fill="FFFFFF"/>
          </w:tcPr>
          <w:p w:rsidR="00FF0141" w:rsidRPr="00503A73" w:rsidRDefault="00FF0141" w:rsidP="00CA75A3">
            <w:pPr>
              <w:autoSpaceDE w:val="0"/>
              <w:autoSpaceDN w:val="0"/>
              <w:adjustRightInd w:val="0"/>
              <w:jc w:val="both"/>
            </w:pPr>
          </w:p>
        </w:tc>
        <w:tc>
          <w:tcPr>
            <w:tcW w:w="2615" w:type="dxa"/>
            <w:tcBorders>
              <w:top w:val="nil"/>
              <w:bottom w:val="nil"/>
              <w:right w:val="single" w:sz="16" w:space="0" w:color="000000"/>
            </w:tcBorders>
            <w:shd w:val="clear" w:color="auto" w:fill="FFFFFF"/>
            <w:vAlign w:val="center"/>
          </w:tcPr>
          <w:p w:rsidR="00FF0141" w:rsidRPr="00503A73" w:rsidRDefault="00FF0141" w:rsidP="00CA75A3">
            <w:pPr>
              <w:autoSpaceDE w:val="0"/>
              <w:autoSpaceDN w:val="0"/>
              <w:adjustRightInd w:val="0"/>
              <w:ind w:left="60" w:right="60"/>
              <w:jc w:val="both"/>
              <w:rPr>
                <w:color w:val="000000"/>
              </w:rPr>
            </w:pPr>
            <w:r w:rsidRPr="00503A73">
              <w:rPr>
                <w:color w:val="000000"/>
              </w:rPr>
              <w:t>.006</w:t>
            </w:r>
          </w:p>
        </w:tc>
      </w:tr>
      <w:tr w:rsidR="00FF0141" w:rsidRPr="00503A73" w:rsidTr="00671AFD">
        <w:trPr>
          <w:cantSplit/>
        </w:trPr>
        <w:tc>
          <w:tcPr>
            <w:tcW w:w="2448" w:type="dxa"/>
            <w:vMerge/>
            <w:tcBorders>
              <w:top w:val="single" w:sz="16" w:space="0" w:color="000000"/>
              <w:left w:val="single" w:sz="16" w:space="0" w:color="000000"/>
              <w:bottom w:val="nil"/>
              <w:right w:val="nil"/>
            </w:tcBorders>
            <w:shd w:val="clear" w:color="auto" w:fill="FFFFFF"/>
            <w:vAlign w:val="center"/>
          </w:tcPr>
          <w:p w:rsidR="00FF0141" w:rsidRPr="00503A73" w:rsidRDefault="00FF0141" w:rsidP="00CA75A3">
            <w:pPr>
              <w:autoSpaceDE w:val="0"/>
              <w:autoSpaceDN w:val="0"/>
              <w:adjustRightInd w:val="0"/>
              <w:jc w:val="both"/>
              <w:rPr>
                <w:color w:val="000000"/>
              </w:rPr>
            </w:pPr>
          </w:p>
        </w:tc>
        <w:tc>
          <w:tcPr>
            <w:tcW w:w="1974" w:type="dxa"/>
            <w:tcBorders>
              <w:top w:val="nil"/>
              <w:left w:val="nil"/>
              <w:bottom w:val="nil"/>
              <w:right w:val="single" w:sz="16" w:space="0" w:color="000000"/>
            </w:tcBorders>
            <w:shd w:val="clear" w:color="auto" w:fill="FFFFFF"/>
            <w:vAlign w:val="center"/>
          </w:tcPr>
          <w:p w:rsidR="00FF0141" w:rsidRPr="00503A73" w:rsidRDefault="00FF0141" w:rsidP="00CA75A3">
            <w:pPr>
              <w:autoSpaceDE w:val="0"/>
              <w:autoSpaceDN w:val="0"/>
              <w:adjustRightInd w:val="0"/>
              <w:ind w:left="60" w:right="60"/>
              <w:jc w:val="both"/>
              <w:rPr>
                <w:color w:val="000000"/>
              </w:rPr>
            </w:pPr>
            <w:r w:rsidRPr="00503A73">
              <w:rPr>
                <w:color w:val="000000"/>
              </w:rPr>
              <w:t>N</w:t>
            </w:r>
          </w:p>
        </w:tc>
        <w:tc>
          <w:tcPr>
            <w:tcW w:w="1468" w:type="dxa"/>
            <w:tcBorders>
              <w:top w:val="nil"/>
              <w:left w:val="single" w:sz="16" w:space="0" w:color="000000"/>
              <w:bottom w:val="nil"/>
            </w:tcBorders>
            <w:shd w:val="clear" w:color="auto" w:fill="FFFFFF"/>
            <w:vAlign w:val="center"/>
          </w:tcPr>
          <w:p w:rsidR="00FF0141" w:rsidRPr="00503A73" w:rsidRDefault="00FF0141" w:rsidP="00CA75A3">
            <w:pPr>
              <w:autoSpaceDE w:val="0"/>
              <w:autoSpaceDN w:val="0"/>
              <w:adjustRightInd w:val="0"/>
              <w:ind w:left="60" w:right="60"/>
              <w:jc w:val="both"/>
              <w:rPr>
                <w:color w:val="000000"/>
              </w:rPr>
            </w:pPr>
            <w:r w:rsidRPr="00503A73">
              <w:rPr>
                <w:color w:val="000000"/>
              </w:rPr>
              <w:t>512</w:t>
            </w:r>
          </w:p>
        </w:tc>
        <w:tc>
          <w:tcPr>
            <w:tcW w:w="2615" w:type="dxa"/>
            <w:tcBorders>
              <w:top w:val="nil"/>
              <w:bottom w:val="nil"/>
              <w:right w:val="single" w:sz="16" w:space="0" w:color="000000"/>
            </w:tcBorders>
            <w:shd w:val="clear" w:color="auto" w:fill="FFFFFF"/>
            <w:vAlign w:val="center"/>
          </w:tcPr>
          <w:p w:rsidR="00FF0141" w:rsidRPr="00503A73" w:rsidRDefault="00FF0141" w:rsidP="00CA75A3">
            <w:pPr>
              <w:autoSpaceDE w:val="0"/>
              <w:autoSpaceDN w:val="0"/>
              <w:adjustRightInd w:val="0"/>
              <w:ind w:left="60" w:right="60"/>
              <w:jc w:val="both"/>
              <w:rPr>
                <w:color w:val="000000"/>
              </w:rPr>
            </w:pPr>
            <w:r w:rsidRPr="00503A73">
              <w:rPr>
                <w:color w:val="000000"/>
              </w:rPr>
              <w:t>512</w:t>
            </w:r>
          </w:p>
        </w:tc>
      </w:tr>
      <w:tr w:rsidR="00FF0141" w:rsidRPr="00503A73" w:rsidTr="00671AFD">
        <w:trPr>
          <w:cantSplit/>
        </w:trPr>
        <w:tc>
          <w:tcPr>
            <w:tcW w:w="2448" w:type="dxa"/>
            <w:vMerge w:val="restart"/>
            <w:tcBorders>
              <w:top w:val="nil"/>
              <w:left w:val="single" w:sz="16" w:space="0" w:color="000000"/>
              <w:bottom w:val="single" w:sz="16" w:space="0" w:color="000000"/>
              <w:right w:val="nil"/>
            </w:tcBorders>
            <w:shd w:val="clear" w:color="auto" w:fill="FFFFFF"/>
            <w:vAlign w:val="center"/>
          </w:tcPr>
          <w:p w:rsidR="00FF0141" w:rsidRPr="00503A73" w:rsidRDefault="00FF0141" w:rsidP="00CA75A3">
            <w:pPr>
              <w:autoSpaceDE w:val="0"/>
              <w:autoSpaceDN w:val="0"/>
              <w:adjustRightInd w:val="0"/>
              <w:ind w:left="60" w:right="60"/>
              <w:jc w:val="both"/>
              <w:rPr>
                <w:color w:val="000000"/>
              </w:rPr>
            </w:pPr>
            <w:r w:rsidRPr="00503A73">
              <w:rPr>
                <w:color w:val="000000"/>
              </w:rPr>
              <w:t>Level of ICT Hardware Usage by the Librarians</w:t>
            </w:r>
          </w:p>
        </w:tc>
        <w:tc>
          <w:tcPr>
            <w:tcW w:w="1974" w:type="dxa"/>
            <w:tcBorders>
              <w:top w:val="nil"/>
              <w:left w:val="nil"/>
              <w:bottom w:val="nil"/>
              <w:right w:val="single" w:sz="16" w:space="0" w:color="000000"/>
            </w:tcBorders>
            <w:shd w:val="clear" w:color="auto" w:fill="FFFFFF"/>
            <w:vAlign w:val="center"/>
          </w:tcPr>
          <w:p w:rsidR="00FF0141" w:rsidRPr="00503A73" w:rsidRDefault="00FF0141" w:rsidP="00CA75A3">
            <w:pPr>
              <w:autoSpaceDE w:val="0"/>
              <w:autoSpaceDN w:val="0"/>
              <w:adjustRightInd w:val="0"/>
              <w:ind w:left="60" w:right="60"/>
              <w:jc w:val="both"/>
              <w:rPr>
                <w:color w:val="000000"/>
              </w:rPr>
            </w:pPr>
            <w:r w:rsidRPr="00503A73">
              <w:rPr>
                <w:color w:val="000000"/>
              </w:rPr>
              <w:t>Pearson Correlation</w:t>
            </w:r>
          </w:p>
        </w:tc>
        <w:tc>
          <w:tcPr>
            <w:tcW w:w="1468" w:type="dxa"/>
            <w:tcBorders>
              <w:top w:val="nil"/>
              <w:left w:val="single" w:sz="16" w:space="0" w:color="000000"/>
              <w:bottom w:val="nil"/>
            </w:tcBorders>
            <w:shd w:val="clear" w:color="auto" w:fill="FFFFFF"/>
            <w:vAlign w:val="center"/>
          </w:tcPr>
          <w:p w:rsidR="00FF0141" w:rsidRPr="00503A73" w:rsidRDefault="00FF0141" w:rsidP="00CA75A3">
            <w:pPr>
              <w:autoSpaceDE w:val="0"/>
              <w:autoSpaceDN w:val="0"/>
              <w:adjustRightInd w:val="0"/>
              <w:ind w:left="60" w:right="60"/>
              <w:jc w:val="both"/>
              <w:rPr>
                <w:color w:val="000000"/>
              </w:rPr>
            </w:pPr>
            <w:r w:rsidRPr="00503A73">
              <w:rPr>
                <w:color w:val="000000"/>
              </w:rPr>
              <w:t>.522</w:t>
            </w:r>
            <w:r w:rsidRPr="00503A73">
              <w:rPr>
                <w:color w:val="000000"/>
                <w:vertAlign w:val="superscript"/>
              </w:rPr>
              <w:t>**</w:t>
            </w:r>
          </w:p>
        </w:tc>
        <w:tc>
          <w:tcPr>
            <w:tcW w:w="2615" w:type="dxa"/>
            <w:tcBorders>
              <w:top w:val="nil"/>
              <w:bottom w:val="nil"/>
              <w:right w:val="single" w:sz="16" w:space="0" w:color="000000"/>
            </w:tcBorders>
            <w:shd w:val="clear" w:color="auto" w:fill="FFFFFF"/>
            <w:vAlign w:val="center"/>
          </w:tcPr>
          <w:p w:rsidR="00FF0141" w:rsidRPr="00503A73" w:rsidRDefault="00FF0141" w:rsidP="00CA75A3">
            <w:pPr>
              <w:autoSpaceDE w:val="0"/>
              <w:autoSpaceDN w:val="0"/>
              <w:adjustRightInd w:val="0"/>
              <w:ind w:left="60" w:right="60"/>
              <w:jc w:val="both"/>
              <w:rPr>
                <w:color w:val="000000"/>
              </w:rPr>
            </w:pPr>
            <w:r w:rsidRPr="00503A73">
              <w:rPr>
                <w:color w:val="000000"/>
              </w:rPr>
              <w:t>1</w:t>
            </w:r>
          </w:p>
        </w:tc>
      </w:tr>
      <w:tr w:rsidR="00FF0141" w:rsidRPr="00503A73" w:rsidTr="00671AFD">
        <w:trPr>
          <w:cantSplit/>
        </w:trPr>
        <w:tc>
          <w:tcPr>
            <w:tcW w:w="2448" w:type="dxa"/>
            <w:vMerge/>
            <w:tcBorders>
              <w:top w:val="nil"/>
              <w:left w:val="single" w:sz="16" w:space="0" w:color="000000"/>
              <w:bottom w:val="single" w:sz="16" w:space="0" w:color="000000"/>
              <w:right w:val="nil"/>
            </w:tcBorders>
            <w:shd w:val="clear" w:color="auto" w:fill="FFFFFF"/>
            <w:vAlign w:val="center"/>
          </w:tcPr>
          <w:p w:rsidR="00FF0141" w:rsidRPr="00503A73" w:rsidRDefault="00FF0141" w:rsidP="00CA75A3">
            <w:pPr>
              <w:autoSpaceDE w:val="0"/>
              <w:autoSpaceDN w:val="0"/>
              <w:adjustRightInd w:val="0"/>
              <w:jc w:val="both"/>
              <w:rPr>
                <w:color w:val="000000"/>
              </w:rPr>
            </w:pPr>
          </w:p>
        </w:tc>
        <w:tc>
          <w:tcPr>
            <w:tcW w:w="1974" w:type="dxa"/>
            <w:tcBorders>
              <w:top w:val="nil"/>
              <w:left w:val="nil"/>
              <w:bottom w:val="nil"/>
              <w:right w:val="single" w:sz="16" w:space="0" w:color="000000"/>
            </w:tcBorders>
            <w:shd w:val="clear" w:color="auto" w:fill="FFFFFF"/>
            <w:vAlign w:val="center"/>
          </w:tcPr>
          <w:p w:rsidR="00FF0141" w:rsidRPr="00503A73" w:rsidRDefault="00FF0141" w:rsidP="00CA75A3">
            <w:pPr>
              <w:autoSpaceDE w:val="0"/>
              <w:autoSpaceDN w:val="0"/>
              <w:adjustRightInd w:val="0"/>
              <w:ind w:left="60" w:right="60"/>
              <w:jc w:val="both"/>
              <w:rPr>
                <w:color w:val="000000"/>
              </w:rPr>
            </w:pPr>
            <w:r w:rsidRPr="00503A73">
              <w:rPr>
                <w:color w:val="000000"/>
              </w:rPr>
              <w:t>Sig. (2-tailed)</w:t>
            </w:r>
          </w:p>
        </w:tc>
        <w:tc>
          <w:tcPr>
            <w:tcW w:w="1468" w:type="dxa"/>
            <w:tcBorders>
              <w:top w:val="nil"/>
              <w:left w:val="single" w:sz="16" w:space="0" w:color="000000"/>
              <w:bottom w:val="nil"/>
            </w:tcBorders>
            <w:shd w:val="clear" w:color="auto" w:fill="FFFFFF"/>
            <w:vAlign w:val="center"/>
          </w:tcPr>
          <w:p w:rsidR="00FF0141" w:rsidRPr="00503A73" w:rsidRDefault="00FF0141" w:rsidP="00CA75A3">
            <w:pPr>
              <w:autoSpaceDE w:val="0"/>
              <w:autoSpaceDN w:val="0"/>
              <w:adjustRightInd w:val="0"/>
              <w:ind w:left="60" w:right="60"/>
              <w:jc w:val="both"/>
              <w:rPr>
                <w:color w:val="000000"/>
              </w:rPr>
            </w:pPr>
            <w:r w:rsidRPr="00503A73">
              <w:rPr>
                <w:color w:val="000000"/>
              </w:rPr>
              <w:t>.006</w:t>
            </w:r>
          </w:p>
        </w:tc>
        <w:tc>
          <w:tcPr>
            <w:tcW w:w="2615" w:type="dxa"/>
            <w:tcBorders>
              <w:top w:val="nil"/>
              <w:bottom w:val="nil"/>
              <w:right w:val="single" w:sz="16" w:space="0" w:color="000000"/>
            </w:tcBorders>
            <w:shd w:val="clear" w:color="auto" w:fill="FFFFFF"/>
          </w:tcPr>
          <w:p w:rsidR="00FF0141" w:rsidRPr="00503A73" w:rsidRDefault="00FF0141" w:rsidP="00CA75A3">
            <w:pPr>
              <w:autoSpaceDE w:val="0"/>
              <w:autoSpaceDN w:val="0"/>
              <w:adjustRightInd w:val="0"/>
              <w:jc w:val="both"/>
            </w:pPr>
          </w:p>
        </w:tc>
      </w:tr>
      <w:tr w:rsidR="00FF0141" w:rsidRPr="00503A73" w:rsidTr="00671AFD">
        <w:trPr>
          <w:cantSplit/>
        </w:trPr>
        <w:tc>
          <w:tcPr>
            <w:tcW w:w="2448" w:type="dxa"/>
            <w:vMerge/>
            <w:tcBorders>
              <w:top w:val="nil"/>
              <w:left w:val="single" w:sz="16" w:space="0" w:color="000000"/>
              <w:bottom w:val="single" w:sz="16" w:space="0" w:color="000000"/>
              <w:right w:val="nil"/>
            </w:tcBorders>
            <w:shd w:val="clear" w:color="auto" w:fill="FFFFFF"/>
            <w:vAlign w:val="center"/>
          </w:tcPr>
          <w:p w:rsidR="00FF0141" w:rsidRPr="00503A73" w:rsidRDefault="00FF0141" w:rsidP="00CA75A3">
            <w:pPr>
              <w:autoSpaceDE w:val="0"/>
              <w:autoSpaceDN w:val="0"/>
              <w:adjustRightInd w:val="0"/>
              <w:jc w:val="both"/>
            </w:pPr>
          </w:p>
        </w:tc>
        <w:tc>
          <w:tcPr>
            <w:tcW w:w="1974" w:type="dxa"/>
            <w:tcBorders>
              <w:top w:val="nil"/>
              <w:left w:val="nil"/>
              <w:bottom w:val="single" w:sz="16" w:space="0" w:color="000000"/>
              <w:right w:val="single" w:sz="16" w:space="0" w:color="000000"/>
            </w:tcBorders>
            <w:shd w:val="clear" w:color="auto" w:fill="FFFFFF"/>
            <w:vAlign w:val="center"/>
          </w:tcPr>
          <w:p w:rsidR="00FF0141" w:rsidRPr="00503A73" w:rsidRDefault="00FF0141" w:rsidP="00CA75A3">
            <w:pPr>
              <w:autoSpaceDE w:val="0"/>
              <w:autoSpaceDN w:val="0"/>
              <w:adjustRightInd w:val="0"/>
              <w:ind w:left="60" w:right="60"/>
              <w:jc w:val="both"/>
              <w:rPr>
                <w:color w:val="000000"/>
              </w:rPr>
            </w:pPr>
            <w:r w:rsidRPr="00503A73">
              <w:rPr>
                <w:color w:val="000000"/>
              </w:rPr>
              <w:t>N</w:t>
            </w:r>
          </w:p>
        </w:tc>
        <w:tc>
          <w:tcPr>
            <w:tcW w:w="1468" w:type="dxa"/>
            <w:tcBorders>
              <w:top w:val="nil"/>
              <w:left w:val="single" w:sz="16" w:space="0" w:color="000000"/>
              <w:bottom w:val="single" w:sz="16" w:space="0" w:color="000000"/>
            </w:tcBorders>
            <w:shd w:val="clear" w:color="auto" w:fill="FFFFFF"/>
            <w:vAlign w:val="center"/>
          </w:tcPr>
          <w:p w:rsidR="00FF0141" w:rsidRPr="00503A73" w:rsidRDefault="00FF0141" w:rsidP="00CA75A3">
            <w:pPr>
              <w:autoSpaceDE w:val="0"/>
              <w:autoSpaceDN w:val="0"/>
              <w:adjustRightInd w:val="0"/>
              <w:ind w:left="60" w:right="60"/>
              <w:jc w:val="both"/>
              <w:rPr>
                <w:color w:val="000000"/>
              </w:rPr>
            </w:pPr>
            <w:r w:rsidRPr="00503A73">
              <w:rPr>
                <w:color w:val="000000"/>
              </w:rPr>
              <w:t>512</w:t>
            </w:r>
          </w:p>
        </w:tc>
        <w:tc>
          <w:tcPr>
            <w:tcW w:w="2615" w:type="dxa"/>
            <w:tcBorders>
              <w:top w:val="nil"/>
              <w:bottom w:val="single" w:sz="16" w:space="0" w:color="000000"/>
              <w:right w:val="single" w:sz="16" w:space="0" w:color="000000"/>
            </w:tcBorders>
            <w:shd w:val="clear" w:color="auto" w:fill="FFFFFF"/>
            <w:vAlign w:val="center"/>
          </w:tcPr>
          <w:p w:rsidR="00FF0141" w:rsidRPr="00503A73" w:rsidRDefault="00FF0141" w:rsidP="00CA75A3">
            <w:pPr>
              <w:autoSpaceDE w:val="0"/>
              <w:autoSpaceDN w:val="0"/>
              <w:adjustRightInd w:val="0"/>
              <w:ind w:left="60" w:right="60"/>
              <w:jc w:val="both"/>
              <w:rPr>
                <w:color w:val="000000"/>
              </w:rPr>
            </w:pPr>
            <w:r w:rsidRPr="00503A73">
              <w:rPr>
                <w:color w:val="000000"/>
              </w:rPr>
              <w:t>512</w:t>
            </w:r>
          </w:p>
        </w:tc>
      </w:tr>
      <w:tr w:rsidR="00FF0141" w:rsidRPr="00503A73" w:rsidTr="00671AFD">
        <w:trPr>
          <w:cantSplit/>
        </w:trPr>
        <w:tc>
          <w:tcPr>
            <w:tcW w:w="8505" w:type="dxa"/>
            <w:gridSpan w:val="4"/>
            <w:tcBorders>
              <w:top w:val="nil"/>
              <w:left w:val="nil"/>
              <w:bottom w:val="nil"/>
              <w:right w:val="nil"/>
            </w:tcBorders>
            <w:shd w:val="clear" w:color="auto" w:fill="FFFFFF"/>
          </w:tcPr>
          <w:p w:rsidR="00FF0141" w:rsidRPr="00503A73" w:rsidRDefault="00FF0141" w:rsidP="00CA75A3">
            <w:pPr>
              <w:autoSpaceDE w:val="0"/>
              <w:autoSpaceDN w:val="0"/>
              <w:adjustRightInd w:val="0"/>
              <w:ind w:left="60" w:right="60"/>
              <w:jc w:val="both"/>
              <w:rPr>
                <w:color w:val="000000"/>
              </w:rPr>
            </w:pPr>
            <w:r w:rsidRPr="00503A73">
              <w:rPr>
                <w:color w:val="000000"/>
              </w:rPr>
              <w:t>**. Correlation is significant at the 0.01 level (2-tailed).</w:t>
            </w:r>
          </w:p>
        </w:tc>
      </w:tr>
    </w:tbl>
    <w:p w:rsidR="00FF0141" w:rsidRPr="00503A73" w:rsidRDefault="00FF0141" w:rsidP="00CA75A3">
      <w:pPr>
        <w:spacing w:before="240"/>
        <w:jc w:val="both"/>
      </w:pPr>
    </w:p>
    <w:p w:rsidR="00FF0141" w:rsidRPr="00503A73" w:rsidRDefault="00FF0141" w:rsidP="00CA75A3">
      <w:pPr>
        <w:autoSpaceDE w:val="0"/>
        <w:autoSpaceDN w:val="0"/>
        <w:adjustRightInd w:val="0"/>
        <w:jc w:val="both"/>
      </w:pPr>
      <w:r w:rsidRPr="00503A73">
        <w:t xml:space="preserve"> </w:t>
      </w:r>
    </w:p>
    <w:p w:rsidR="00FF0141" w:rsidRPr="00503A73" w:rsidRDefault="00846022" w:rsidP="00CA75A3">
      <w:pPr>
        <w:spacing w:line="480" w:lineRule="auto"/>
        <w:jc w:val="both"/>
      </w:pPr>
      <w:r w:rsidRPr="00503A73">
        <w:rPr>
          <w:bCs/>
          <w:color w:val="000000"/>
        </w:rPr>
        <w:t>From Table 3</w:t>
      </w:r>
      <w:r w:rsidR="002C654B" w:rsidRPr="00503A73">
        <w:rPr>
          <w:bCs/>
          <w:color w:val="000000"/>
        </w:rPr>
        <w:t xml:space="preserve">. </w:t>
      </w:r>
      <w:r w:rsidR="00FF0141" w:rsidRPr="00503A73">
        <w:rPr>
          <w:bCs/>
          <w:color w:val="000000"/>
        </w:rPr>
        <w:t xml:space="preserve"> </w:t>
      </w:r>
      <w:r w:rsidR="002C654B" w:rsidRPr="00503A73">
        <w:rPr>
          <w:bCs/>
          <w:color w:val="000000"/>
        </w:rPr>
        <w:t>Since</w:t>
      </w:r>
      <w:r w:rsidR="00FF0141" w:rsidRPr="00503A73">
        <w:rPr>
          <w:bCs/>
          <w:color w:val="000000"/>
        </w:rPr>
        <w:t xml:space="preserve"> the significant value is 0.006 (which is lesser than 0.05), it can be concluded that there is a significant correlation between the educational qualification of librarians and the level of ICT hardware usage by them. This implies that educational qualification of the librarian influences the use of ICT hardware. The finding from the current study agrees with that of   </w:t>
      </w:r>
      <w:proofErr w:type="spellStart"/>
      <w:r w:rsidR="00FF0141" w:rsidRPr="00503A73">
        <w:t>Ramzan</w:t>
      </w:r>
      <w:proofErr w:type="spellEnd"/>
      <w:r w:rsidR="00FF0141" w:rsidRPr="00503A73">
        <w:t xml:space="preserve"> (2004), cited in </w:t>
      </w:r>
      <w:proofErr w:type="spellStart"/>
      <w:r w:rsidR="00FF0141" w:rsidRPr="00503A73">
        <w:t>Adeyinka</w:t>
      </w:r>
      <w:proofErr w:type="spellEnd"/>
      <w:r w:rsidR="00FF0141" w:rsidRPr="00503A73">
        <w:t xml:space="preserve"> (2009), who found a significant relationship between </w:t>
      </w:r>
      <w:r w:rsidR="00FF0141" w:rsidRPr="00503A73">
        <w:lastRenderedPageBreak/>
        <w:t xml:space="preserve">respondents’ educational background, experience in using information and </w:t>
      </w:r>
      <w:r w:rsidR="00E877DA" w:rsidRPr="00503A73">
        <w:t>communication technology</w:t>
      </w:r>
      <w:r w:rsidR="00FF0141" w:rsidRPr="00503A73">
        <w:t xml:space="preserve"> and their perception about it.</w:t>
      </w:r>
    </w:p>
    <w:p w:rsidR="006870DE" w:rsidRPr="00503A73" w:rsidRDefault="006870DE" w:rsidP="00CA75A3">
      <w:pPr>
        <w:spacing w:line="480" w:lineRule="auto"/>
        <w:jc w:val="both"/>
        <w:rPr>
          <w:b/>
        </w:rPr>
      </w:pPr>
      <w:r w:rsidRPr="00503A73">
        <w:rPr>
          <w:b/>
        </w:rPr>
        <w:t xml:space="preserve">Conclusion and Recommendations </w:t>
      </w:r>
    </w:p>
    <w:p w:rsidR="00227ED9" w:rsidRPr="00503A73" w:rsidRDefault="003178F6" w:rsidP="00227ED9">
      <w:pPr>
        <w:spacing w:line="480" w:lineRule="auto"/>
        <w:ind w:hanging="720"/>
        <w:jc w:val="both"/>
      </w:pPr>
      <w:r w:rsidRPr="00503A73">
        <w:rPr>
          <w:bCs/>
          <w:color w:val="000000"/>
        </w:rPr>
        <w:t xml:space="preserve">            </w:t>
      </w:r>
      <w:r w:rsidR="006870DE" w:rsidRPr="00503A73">
        <w:rPr>
          <w:bCs/>
          <w:color w:val="000000"/>
        </w:rPr>
        <w:t xml:space="preserve">This study focused on </w:t>
      </w:r>
      <w:r w:rsidR="006870DE" w:rsidRPr="00503A73">
        <w:t>influence of educational qualification on the level of usage of information and communication technology by librarians in university libraries in South South and South West Nigeria</w:t>
      </w:r>
      <w:r w:rsidR="00876763" w:rsidRPr="00503A73">
        <w:t>.</w:t>
      </w:r>
      <w:r w:rsidR="00846022" w:rsidRPr="00503A73">
        <w:t xml:space="preserve"> From the analysis </w:t>
      </w:r>
      <w:r w:rsidR="003E6921" w:rsidRPr="00503A73">
        <w:t>of data with</w:t>
      </w:r>
      <w:r w:rsidR="003E6921" w:rsidRPr="00503A73">
        <w:rPr>
          <w:bCs/>
          <w:kern w:val="36"/>
        </w:rPr>
        <w:t xml:space="preserve"> a mean statistic of 3.13 which is above acceptance point of 3.00, it therefore means that librarians in university libraries in the South-South and South-West regions of Nigeria moderately use ICT hardware in the university libraries.</w:t>
      </w:r>
      <w:r w:rsidR="00CA75A3" w:rsidRPr="00503A73">
        <w:rPr>
          <w:bCs/>
          <w:kern w:val="36"/>
        </w:rPr>
        <w:t xml:space="preserve"> Conclusively, </w:t>
      </w:r>
      <w:r w:rsidR="00CA75A3" w:rsidRPr="00503A73">
        <w:rPr>
          <w:bCs/>
          <w:color w:val="000000"/>
        </w:rPr>
        <w:t>since</w:t>
      </w:r>
      <w:r w:rsidR="00BE2324" w:rsidRPr="00503A73">
        <w:rPr>
          <w:bCs/>
          <w:color w:val="000000"/>
        </w:rPr>
        <w:t xml:space="preserve"> the significant value is 0.006 (which is lesser than 0.05), it can be concluded that there is a significant correlation between the educational qualification of librarians and the level of ICT hardware usage by them. This implies that educational qualification of the librarian influences the use of ICT hardware.</w:t>
      </w:r>
      <w:r w:rsidR="00CA75A3" w:rsidRPr="00503A73">
        <w:rPr>
          <w:bCs/>
          <w:color w:val="000000"/>
        </w:rPr>
        <w:t xml:space="preserve"> The study recommends that </w:t>
      </w:r>
      <w:r w:rsidR="008A1C52" w:rsidRPr="00503A73">
        <w:rPr>
          <w:bCs/>
          <w:color w:val="000000"/>
        </w:rPr>
        <w:t>since there is a significant correlation between the educational qualification of librarians and the level of ICT hardware usage by librarians.</w:t>
      </w:r>
      <w:r w:rsidR="00227ED9" w:rsidRPr="00503A73">
        <w:rPr>
          <w:bCs/>
          <w:color w:val="000000"/>
        </w:rPr>
        <w:t xml:space="preserve"> University </w:t>
      </w:r>
      <w:r w:rsidR="00227ED9" w:rsidRPr="00503A73">
        <w:t>librarians should have robust educational ICT background in other to properly utilize the digital library environment.</w:t>
      </w:r>
    </w:p>
    <w:p w:rsidR="00BE2324" w:rsidRPr="00503A73" w:rsidRDefault="008A1C52" w:rsidP="00CA75A3">
      <w:pPr>
        <w:spacing w:line="480" w:lineRule="auto"/>
        <w:jc w:val="both"/>
        <w:rPr>
          <w:b/>
          <w:bCs/>
          <w:color w:val="000000"/>
        </w:rPr>
      </w:pPr>
      <w:r w:rsidRPr="00503A73">
        <w:rPr>
          <w:bCs/>
          <w:color w:val="000000"/>
        </w:rPr>
        <w:t xml:space="preserve"> </w:t>
      </w:r>
      <w:r w:rsidR="00BE2324" w:rsidRPr="00503A73">
        <w:rPr>
          <w:b/>
          <w:bCs/>
          <w:color w:val="000000"/>
        </w:rPr>
        <w:t>References</w:t>
      </w:r>
    </w:p>
    <w:p w:rsidR="002873D5" w:rsidRPr="00503A73" w:rsidRDefault="002873D5" w:rsidP="00CA75A3">
      <w:pPr>
        <w:ind w:left="720" w:hanging="720"/>
        <w:jc w:val="both"/>
        <w:rPr>
          <w:color w:val="000000"/>
        </w:rPr>
      </w:pPr>
      <w:proofErr w:type="spellStart"/>
      <w:r w:rsidRPr="00503A73">
        <w:rPr>
          <w:color w:val="000000"/>
        </w:rPr>
        <w:t>Adeyinka</w:t>
      </w:r>
      <w:proofErr w:type="spellEnd"/>
      <w:r w:rsidRPr="00503A73">
        <w:rPr>
          <w:color w:val="000000"/>
        </w:rPr>
        <w:t xml:space="preserve">, T. (2009). Attitudinal correlates of selected Nigerian librarians towards the use of ICT. </w:t>
      </w:r>
      <w:r w:rsidRPr="00503A73">
        <w:rPr>
          <w:i/>
          <w:color w:val="000000"/>
        </w:rPr>
        <w:t>International Journal of Information Science and Management</w:t>
      </w:r>
      <w:r w:rsidRPr="00503A73">
        <w:rPr>
          <w:color w:val="000000"/>
        </w:rPr>
        <w:t>, 7(1) 1-7.</w:t>
      </w:r>
    </w:p>
    <w:p w:rsidR="002873D5" w:rsidRPr="00503A73" w:rsidRDefault="002873D5" w:rsidP="008A1C52">
      <w:pPr>
        <w:jc w:val="both"/>
        <w:rPr>
          <w:color w:val="000000"/>
        </w:rPr>
      </w:pPr>
    </w:p>
    <w:p w:rsidR="002873D5" w:rsidRPr="00503A73" w:rsidRDefault="002873D5" w:rsidP="00CA75A3">
      <w:pPr>
        <w:ind w:left="720" w:hanging="720"/>
        <w:jc w:val="both"/>
        <w:rPr>
          <w:color w:val="000000"/>
        </w:rPr>
      </w:pPr>
      <w:r w:rsidRPr="00503A73">
        <w:rPr>
          <w:color w:val="000000"/>
        </w:rPr>
        <w:t>Aziz, S. (2004). A Study of I.C. S Students, knowledge Anxiety and Attitude towards computer, university of Punjab. Unpublished PhD Thesis, University of Punjab, India.</w:t>
      </w:r>
    </w:p>
    <w:p w:rsidR="003D44F4" w:rsidRPr="00503A73" w:rsidRDefault="003D44F4" w:rsidP="00CA75A3">
      <w:pPr>
        <w:ind w:left="720" w:hanging="720"/>
        <w:jc w:val="both"/>
        <w:rPr>
          <w:color w:val="000000"/>
        </w:rPr>
      </w:pPr>
    </w:p>
    <w:p w:rsidR="003D44F4" w:rsidRPr="00503A73" w:rsidRDefault="003D44F4" w:rsidP="00CA75A3">
      <w:pPr>
        <w:tabs>
          <w:tab w:val="left" w:pos="3780"/>
        </w:tabs>
        <w:ind w:left="720" w:hanging="720"/>
        <w:jc w:val="both"/>
        <w:rPr>
          <w:color w:val="000000"/>
        </w:rPr>
      </w:pPr>
      <w:r w:rsidRPr="00503A73">
        <w:rPr>
          <w:color w:val="000000"/>
        </w:rPr>
        <w:t xml:space="preserve">Egbule J. F &amp; Okobia, O. </w:t>
      </w:r>
      <w:r w:rsidR="001D12B3" w:rsidRPr="00503A73">
        <w:rPr>
          <w:color w:val="000000"/>
        </w:rPr>
        <w:t>S. (</w:t>
      </w:r>
      <w:r w:rsidRPr="00503A73">
        <w:rPr>
          <w:color w:val="000000"/>
        </w:rPr>
        <w:t>1998</w:t>
      </w:r>
      <w:r w:rsidRPr="00503A73">
        <w:rPr>
          <w:i/>
          <w:color w:val="000000"/>
        </w:rPr>
        <w:t>). Research Methods in Education for Colleges and Universities. A</w:t>
      </w:r>
      <w:r w:rsidRPr="00503A73">
        <w:rPr>
          <w:color w:val="000000"/>
        </w:rPr>
        <w:t xml:space="preserve">gbor: </w:t>
      </w:r>
      <w:proofErr w:type="spellStart"/>
      <w:r w:rsidRPr="00503A73">
        <w:rPr>
          <w:color w:val="000000"/>
        </w:rPr>
        <w:t>Kmansuo</w:t>
      </w:r>
      <w:proofErr w:type="spellEnd"/>
      <w:r w:rsidRPr="00503A73">
        <w:rPr>
          <w:color w:val="000000"/>
        </w:rPr>
        <w:t xml:space="preserve"> Educational Publications.</w:t>
      </w:r>
    </w:p>
    <w:p w:rsidR="001D12B3" w:rsidRPr="00503A73" w:rsidRDefault="001D12B3" w:rsidP="00CA75A3">
      <w:pPr>
        <w:tabs>
          <w:tab w:val="left" w:pos="3780"/>
        </w:tabs>
        <w:ind w:left="720" w:hanging="720"/>
        <w:jc w:val="both"/>
        <w:rPr>
          <w:color w:val="000000"/>
        </w:rPr>
      </w:pPr>
    </w:p>
    <w:p w:rsidR="001D12B3" w:rsidRPr="00503A73" w:rsidRDefault="001D12B3" w:rsidP="00CA75A3">
      <w:pPr>
        <w:tabs>
          <w:tab w:val="left" w:pos="3780"/>
        </w:tabs>
        <w:ind w:left="720" w:hanging="720"/>
        <w:jc w:val="both"/>
        <w:rPr>
          <w:color w:val="000000"/>
        </w:rPr>
      </w:pPr>
      <w:r w:rsidRPr="00503A73">
        <w:rPr>
          <w:color w:val="000000"/>
        </w:rPr>
        <w:t xml:space="preserve">Frankel, R. A. (1995). Women and computing. </w:t>
      </w:r>
      <w:r w:rsidRPr="00503A73">
        <w:rPr>
          <w:i/>
          <w:color w:val="000000"/>
        </w:rPr>
        <w:t xml:space="preserve">Communication of the ACM, </w:t>
      </w:r>
      <w:r w:rsidRPr="00503A73">
        <w:rPr>
          <w:color w:val="000000"/>
        </w:rPr>
        <w:t>33(11) 34-45.</w:t>
      </w:r>
    </w:p>
    <w:p w:rsidR="00D412C0" w:rsidRPr="00503A73" w:rsidRDefault="00D412C0" w:rsidP="00CA75A3">
      <w:pPr>
        <w:ind w:left="720" w:hanging="720"/>
        <w:jc w:val="both"/>
        <w:rPr>
          <w:color w:val="000000"/>
        </w:rPr>
      </w:pPr>
    </w:p>
    <w:p w:rsidR="00D412C0" w:rsidRPr="00503A73" w:rsidRDefault="00D412C0" w:rsidP="00CA75A3">
      <w:pPr>
        <w:tabs>
          <w:tab w:val="left" w:pos="3780"/>
        </w:tabs>
        <w:ind w:left="720" w:hanging="720"/>
        <w:jc w:val="both"/>
        <w:rPr>
          <w:color w:val="000000"/>
        </w:rPr>
      </w:pPr>
      <w:proofErr w:type="spellStart"/>
      <w:r w:rsidRPr="00503A73">
        <w:rPr>
          <w:color w:val="000000"/>
        </w:rPr>
        <w:t>Karahanna</w:t>
      </w:r>
      <w:proofErr w:type="spellEnd"/>
      <w:r w:rsidRPr="00503A73">
        <w:rPr>
          <w:color w:val="000000"/>
        </w:rPr>
        <w:t xml:space="preserve">, F. &amp; Straub, D.W. (1998). The psychological origins of perceived usefulness ease of use. </w:t>
      </w:r>
      <w:r w:rsidRPr="00503A73">
        <w:rPr>
          <w:i/>
          <w:color w:val="000000"/>
        </w:rPr>
        <w:t xml:space="preserve">Information and Management, </w:t>
      </w:r>
      <w:r w:rsidRPr="00503A73">
        <w:rPr>
          <w:color w:val="000000"/>
        </w:rPr>
        <w:t>35, 237-250.</w:t>
      </w:r>
    </w:p>
    <w:p w:rsidR="002873D5" w:rsidRPr="00503A73" w:rsidRDefault="002873D5" w:rsidP="00CA75A3">
      <w:pPr>
        <w:jc w:val="both"/>
        <w:rPr>
          <w:color w:val="000000"/>
        </w:rPr>
      </w:pPr>
    </w:p>
    <w:p w:rsidR="002873D5" w:rsidRPr="00503A73" w:rsidRDefault="002873D5" w:rsidP="00CA75A3">
      <w:pPr>
        <w:pStyle w:val="NoSpacing"/>
        <w:ind w:left="720" w:hanging="720"/>
        <w:jc w:val="both"/>
        <w:rPr>
          <w:color w:val="000000"/>
        </w:rPr>
      </w:pPr>
      <w:proofErr w:type="spellStart"/>
      <w:r w:rsidRPr="00503A73">
        <w:rPr>
          <w:color w:val="000000"/>
        </w:rPr>
        <w:lastRenderedPageBreak/>
        <w:t>Maesaroh</w:t>
      </w:r>
      <w:proofErr w:type="spellEnd"/>
      <w:r w:rsidRPr="00503A73">
        <w:rPr>
          <w:color w:val="000000"/>
        </w:rPr>
        <w:t xml:space="preserve">, I., and </w:t>
      </w:r>
      <w:proofErr w:type="spellStart"/>
      <w:r w:rsidRPr="00503A73">
        <w:rPr>
          <w:color w:val="000000"/>
        </w:rPr>
        <w:t>Genoni</w:t>
      </w:r>
      <w:proofErr w:type="spellEnd"/>
      <w:r w:rsidRPr="00503A73">
        <w:rPr>
          <w:color w:val="000000"/>
        </w:rPr>
        <w:t>, P. (2009). Education and Continuing Professional Development for Indonesian Academy Librarians: A Survey. Library Management, 30 (8/9), 524 – 538.</w:t>
      </w:r>
    </w:p>
    <w:p w:rsidR="002873D5" w:rsidRPr="00503A73" w:rsidRDefault="002873D5" w:rsidP="00CA75A3">
      <w:pPr>
        <w:pStyle w:val="NoSpacing"/>
        <w:ind w:left="720" w:hanging="720"/>
        <w:jc w:val="both"/>
        <w:rPr>
          <w:color w:val="000000"/>
        </w:rPr>
      </w:pPr>
    </w:p>
    <w:p w:rsidR="002873D5" w:rsidRPr="00503A73" w:rsidRDefault="002873D5" w:rsidP="00CA75A3">
      <w:pPr>
        <w:tabs>
          <w:tab w:val="left" w:pos="3780"/>
        </w:tabs>
        <w:ind w:left="720" w:hanging="720"/>
        <w:jc w:val="both"/>
        <w:rPr>
          <w:color w:val="000000"/>
        </w:rPr>
      </w:pPr>
      <w:r w:rsidRPr="00503A73">
        <w:rPr>
          <w:color w:val="000000"/>
        </w:rPr>
        <w:t xml:space="preserve">Nicholas, L. (1992). The influence of student computer ownership and in-home use and achievement in an elementary school computer programming curriculum. </w:t>
      </w:r>
      <w:r w:rsidRPr="00503A73">
        <w:rPr>
          <w:i/>
          <w:color w:val="000000"/>
        </w:rPr>
        <w:t>Journal of Educational Computing Research</w:t>
      </w:r>
      <w:r w:rsidRPr="00503A73">
        <w:rPr>
          <w:color w:val="000000"/>
        </w:rPr>
        <w:t>, 8(45), 407-421.</w:t>
      </w:r>
    </w:p>
    <w:p w:rsidR="002873D5" w:rsidRPr="00503A73" w:rsidRDefault="002873D5" w:rsidP="00CA75A3">
      <w:pPr>
        <w:tabs>
          <w:tab w:val="left" w:pos="3780"/>
        </w:tabs>
        <w:ind w:left="720" w:hanging="720"/>
        <w:jc w:val="both"/>
        <w:rPr>
          <w:color w:val="000000"/>
        </w:rPr>
      </w:pPr>
    </w:p>
    <w:p w:rsidR="002873D5" w:rsidRPr="00503A73" w:rsidRDefault="002873D5" w:rsidP="00CA75A3">
      <w:pPr>
        <w:tabs>
          <w:tab w:val="left" w:pos="3780"/>
        </w:tabs>
        <w:ind w:left="720" w:hanging="720"/>
        <w:jc w:val="both"/>
        <w:rPr>
          <w:color w:val="000000"/>
        </w:rPr>
      </w:pPr>
      <w:r w:rsidRPr="00503A73">
        <w:rPr>
          <w:color w:val="000000"/>
        </w:rPr>
        <w:t xml:space="preserve">Ogletree, S. &amp; Williams, S. (1990). Sex and typing effect on computer attitudes and attitude. </w:t>
      </w:r>
      <w:r w:rsidRPr="00503A73">
        <w:rPr>
          <w:i/>
          <w:color w:val="000000"/>
        </w:rPr>
        <w:t xml:space="preserve">Sex Roles, </w:t>
      </w:r>
      <w:r w:rsidRPr="00503A73">
        <w:rPr>
          <w:color w:val="000000"/>
        </w:rPr>
        <w:t>23 (11 &amp;12), 703-712.</w:t>
      </w:r>
    </w:p>
    <w:p w:rsidR="002873D5" w:rsidRPr="00503A73" w:rsidRDefault="002873D5" w:rsidP="00CA75A3">
      <w:pPr>
        <w:tabs>
          <w:tab w:val="left" w:pos="3780"/>
        </w:tabs>
        <w:ind w:left="720" w:hanging="720"/>
        <w:jc w:val="both"/>
        <w:rPr>
          <w:color w:val="000000"/>
        </w:rPr>
      </w:pPr>
    </w:p>
    <w:p w:rsidR="002873D5" w:rsidRPr="00503A73" w:rsidRDefault="002873D5" w:rsidP="00CA75A3">
      <w:pPr>
        <w:tabs>
          <w:tab w:val="left" w:pos="3780"/>
        </w:tabs>
        <w:ind w:left="720" w:hanging="720"/>
        <w:jc w:val="both"/>
        <w:rPr>
          <w:color w:val="000000"/>
        </w:rPr>
      </w:pPr>
      <w:proofErr w:type="spellStart"/>
      <w:r w:rsidRPr="00503A73">
        <w:rPr>
          <w:color w:val="000000"/>
        </w:rPr>
        <w:t>Ojedokun</w:t>
      </w:r>
      <w:proofErr w:type="spellEnd"/>
      <w:r w:rsidRPr="00503A73">
        <w:rPr>
          <w:color w:val="000000"/>
        </w:rPr>
        <w:t xml:space="preserve">, A.A. (2007). </w:t>
      </w:r>
      <w:r w:rsidRPr="00503A73">
        <w:rPr>
          <w:i/>
          <w:color w:val="000000"/>
        </w:rPr>
        <w:t>Information literacy for tertiary education student in Africa</w:t>
      </w:r>
      <w:r w:rsidRPr="00503A73">
        <w:rPr>
          <w:color w:val="000000"/>
        </w:rPr>
        <w:t>, Ibadan; The World Information in Services Limited.</w:t>
      </w:r>
    </w:p>
    <w:p w:rsidR="002873D5" w:rsidRPr="00503A73" w:rsidRDefault="002873D5" w:rsidP="00CA75A3">
      <w:pPr>
        <w:tabs>
          <w:tab w:val="left" w:pos="3780"/>
        </w:tabs>
        <w:ind w:left="720" w:hanging="720"/>
        <w:jc w:val="both"/>
        <w:rPr>
          <w:color w:val="000000"/>
        </w:rPr>
      </w:pPr>
      <w:proofErr w:type="spellStart"/>
      <w:r w:rsidRPr="00503A73">
        <w:rPr>
          <w:color w:val="000000"/>
        </w:rPr>
        <w:t>Partnayakuni</w:t>
      </w:r>
      <w:proofErr w:type="spellEnd"/>
      <w:r w:rsidRPr="00503A73">
        <w:rPr>
          <w:color w:val="000000"/>
        </w:rPr>
        <w:t xml:space="preserve">, R &amp; Rai, A. (1996). Structural model for case adoption behavior. In Uwaifo, S. O. “Predictive effect of academic qualification on perceived ease of use of computer-based libraries by staff in Nigerian universities, </w:t>
      </w:r>
      <w:r w:rsidRPr="00503A73">
        <w:rPr>
          <w:i/>
          <w:color w:val="000000"/>
        </w:rPr>
        <w:t>Nigerian Libraries</w:t>
      </w:r>
      <w:r w:rsidRPr="00503A73">
        <w:rPr>
          <w:color w:val="000000"/>
        </w:rPr>
        <w:t>, 42.</w:t>
      </w:r>
    </w:p>
    <w:p w:rsidR="002873D5" w:rsidRPr="00503A73" w:rsidRDefault="002873D5" w:rsidP="00CA75A3">
      <w:pPr>
        <w:tabs>
          <w:tab w:val="left" w:pos="3780"/>
        </w:tabs>
        <w:ind w:left="720" w:hanging="720"/>
        <w:jc w:val="both"/>
        <w:rPr>
          <w:color w:val="000000"/>
        </w:rPr>
      </w:pPr>
    </w:p>
    <w:p w:rsidR="002873D5" w:rsidRPr="00503A73" w:rsidRDefault="002873D5" w:rsidP="00CA75A3">
      <w:pPr>
        <w:ind w:left="720" w:hanging="720"/>
        <w:jc w:val="both"/>
        <w:rPr>
          <w:color w:val="000000"/>
        </w:rPr>
      </w:pPr>
      <w:r w:rsidRPr="00503A73">
        <w:rPr>
          <w:color w:val="000000"/>
        </w:rPr>
        <w:t>Pugh, L. (2007</w:t>
      </w:r>
      <w:r w:rsidRPr="00503A73">
        <w:rPr>
          <w:i/>
          <w:color w:val="000000"/>
        </w:rPr>
        <w:t>). Change management in information services</w:t>
      </w:r>
      <w:r w:rsidRPr="00503A73">
        <w:rPr>
          <w:color w:val="000000"/>
        </w:rPr>
        <w:t xml:space="preserve">, </w:t>
      </w:r>
      <w:proofErr w:type="spellStart"/>
      <w:r w:rsidRPr="00503A73">
        <w:rPr>
          <w:color w:val="000000"/>
        </w:rPr>
        <w:t>Ashgate</w:t>
      </w:r>
      <w:proofErr w:type="spellEnd"/>
      <w:r w:rsidRPr="00503A73">
        <w:rPr>
          <w:color w:val="000000"/>
        </w:rPr>
        <w:t xml:space="preserve">: </w:t>
      </w:r>
      <w:proofErr w:type="spellStart"/>
      <w:r w:rsidRPr="00503A73">
        <w:rPr>
          <w:color w:val="000000"/>
        </w:rPr>
        <w:t>Adershot</w:t>
      </w:r>
      <w:proofErr w:type="spellEnd"/>
      <w:proofErr w:type="gramStart"/>
      <w:r w:rsidRPr="00503A73">
        <w:rPr>
          <w:color w:val="000000"/>
        </w:rPr>
        <w:t>.</w:t>
      </w:r>
      <w:r w:rsidR="00003E9A" w:rsidRPr="00503A73">
        <w:rPr>
          <w:color w:val="000000"/>
        </w:rPr>
        <w:t>.</w:t>
      </w:r>
      <w:proofErr w:type="gramEnd"/>
    </w:p>
    <w:p w:rsidR="00003E9A" w:rsidRPr="00503A73" w:rsidRDefault="00003E9A" w:rsidP="00CA75A3">
      <w:pPr>
        <w:ind w:left="720" w:hanging="720"/>
        <w:jc w:val="both"/>
        <w:rPr>
          <w:color w:val="000000"/>
        </w:rPr>
      </w:pPr>
    </w:p>
    <w:p w:rsidR="00003E9A" w:rsidRPr="00503A73" w:rsidRDefault="00003E9A" w:rsidP="00CA75A3">
      <w:pPr>
        <w:tabs>
          <w:tab w:val="left" w:pos="3780"/>
        </w:tabs>
        <w:ind w:left="720" w:hanging="720"/>
        <w:jc w:val="both"/>
        <w:rPr>
          <w:color w:val="000000"/>
        </w:rPr>
      </w:pPr>
      <w:r w:rsidRPr="00503A73">
        <w:rPr>
          <w:color w:val="000000"/>
        </w:rPr>
        <w:t>Uwaifo, S. O (2009). Predictive effect of academic qualifications on perceived ease of use of computer-based libraries by staff in Nigerian universities</w:t>
      </w:r>
      <w:r w:rsidRPr="00503A73">
        <w:rPr>
          <w:i/>
          <w:color w:val="000000"/>
        </w:rPr>
        <w:t>, Nigerian Libraries</w:t>
      </w:r>
      <w:r w:rsidRPr="00503A73">
        <w:rPr>
          <w:color w:val="000000"/>
        </w:rPr>
        <w:t>, 42.</w:t>
      </w:r>
    </w:p>
    <w:p w:rsidR="00003E9A" w:rsidRPr="00503A73" w:rsidRDefault="00003E9A" w:rsidP="00CA75A3">
      <w:pPr>
        <w:tabs>
          <w:tab w:val="left" w:pos="3780"/>
        </w:tabs>
        <w:ind w:left="720" w:hanging="720"/>
        <w:jc w:val="both"/>
        <w:rPr>
          <w:color w:val="000000"/>
        </w:rPr>
      </w:pPr>
    </w:p>
    <w:p w:rsidR="00003E9A" w:rsidRPr="00503A73" w:rsidRDefault="00003E9A" w:rsidP="00CA75A3">
      <w:pPr>
        <w:tabs>
          <w:tab w:val="left" w:pos="3780"/>
        </w:tabs>
        <w:ind w:left="720" w:hanging="720"/>
        <w:jc w:val="both"/>
        <w:rPr>
          <w:color w:val="000000"/>
        </w:rPr>
      </w:pPr>
      <w:r w:rsidRPr="00503A73">
        <w:rPr>
          <w:color w:val="000000"/>
        </w:rPr>
        <w:t xml:space="preserve">Uwaifo, S.O. (2007). Age and exposure to computers as determinants of attitudes of librarians towards automation in Nigerian universities, </w:t>
      </w:r>
      <w:r w:rsidRPr="00503A73">
        <w:rPr>
          <w:i/>
          <w:color w:val="000000"/>
        </w:rPr>
        <w:t>Library Review:</w:t>
      </w:r>
      <w:r w:rsidRPr="00503A73">
        <w:rPr>
          <w:color w:val="000000"/>
        </w:rPr>
        <w:t xml:space="preserve"> Emerald Group Publishing Limited, 56 (6) 495-504. Retrieved from </w:t>
      </w:r>
      <w:hyperlink r:id="rId5" w:history="1">
        <w:r w:rsidRPr="00503A73">
          <w:rPr>
            <w:rStyle w:val="Hyperlink"/>
          </w:rPr>
          <w:t>www.emeraldinsight.com/0024-2535.htm</w:t>
        </w:r>
      </w:hyperlink>
    </w:p>
    <w:p w:rsidR="00C47C19" w:rsidRPr="00503A73" w:rsidRDefault="00C47C19" w:rsidP="00CA75A3">
      <w:pPr>
        <w:tabs>
          <w:tab w:val="left" w:pos="3780"/>
        </w:tabs>
        <w:ind w:left="720" w:hanging="720"/>
        <w:jc w:val="both"/>
        <w:rPr>
          <w:color w:val="000000"/>
        </w:rPr>
      </w:pPr>
    </w:p>
    <w:p w:rsidR="00C47C19" w:rsidRPr="00503A73" w:rsidRDefault="00C47C19" w:rsidP="00CA75A3">
      <w:pPr>
        <w:tabs>
          <w:tab w:val="left" w:pos="3780"/>
        </w:tabs>
        <w:ind w:left="720" w:hanging="720"/>
        <w:jc w:val="both"/>
        <w:rPr>
          <w:color w:val="000000"/>
        </w:rPr>
      </w:pPr>
      <w:r w:rsidRPr="00503A73">
        <w:rPr>
          <w:color w:val="000000"/>
        </w:rPr>
        <w:t xml:space="preserve">Yomere, G. O &amp; Agbonifoh, A.F.  (1999). </w:t>
      </w:r>
      <w:r w:rsidRPr="00503A73">
        <w:rPr>
          <w:i/>
          <w:color w:val="000000"/>
        </w:rPr>
        <w:t>Research methodology in social sciences and education</w:t>
      </w:r>
      <w:r w:rsidRPr="00503A73">
        <w:rPr>
          <w:color w:val="000000"/>
        </w:rPr>
        <w:t>, Benin: UNIBEN Press.</w:t>
      </w:r>
    </w:p>
    <w:p w:rsidR="00C47C19" w:rsidRPr="00503A73" w:rsidRDefault="00C47C19" w:rsidP="00CA75A3">
      <w:pPr>
        <w:tabs>
          <w:tab w:val="left" w:pos="3780"/>
        </w:tabs>
        <w:ind w:left="720" w:hanging="720"/>
        <w:jc w:val="both"/>
        <w:rPr>
          <w:color w:val="000000"/>
        </w:rPr>
      </w:pPr>
    </w:p>
    <w:p w:rsidR="00003E9A" w:rsidRPr="00503A73" w:rsidRDefault="00003E9A" w:rsidP="00CA75A3">
      <w:pPr>
        <w:tabs>
          <w:tab w:val="left" w:pos="3780"/>
        </w:tabs>
        <w:ind w:left="720" w:hanging="720"/>
        <w:jc w:val="both"/>
        <w:rPr>
          <w:color w:val="000000"/>
        </w:rPr>
      </w:pPr>
    </w:p>
    <w:p w:rsidR="00003E9A" w:rsidRPr="00503A73" w:rsidRDefault="00003E9A" w:rsidP="00CA75A3">
      <w:pPr>
        <w:ind w:left="720" w:hanging="720"/>
        <w:jc w:val="both"/>
        <w:rPr>
          <w:color w:val="000000"/>
        </w:rPr>
      </w:pPr>
    </w:p>
    <w:p w:rsidR="002873D5" w:rsidRPr="00503A73" w:rsidRDefault="002873D5" w:rsidP="00CA75A3">
      <w:pPr>
        <w:ind w:left="720" w:hanging="720"/>
        <w:jc w:val="both"/>
        <w:rPr>
          <w:color w:val="000000"/>
        </w:rPr>
      </w:pPr>
    </w:p>
    <w:p w:rsidR="002873D5" w:rsidRPr="00503A73" w:rsidRDefault="002873D5" w:rsidP="00CA75A3">
      <w:pPr>
        <w:tabs>
          <w:tab w:val="left" w:pos="3780"/>
        </w:tabs>
        <w:ind w:left="720" w:hanging="720"/>
        <w:jc w:val="both"/>
        <w:rPr>
          <w:color w:val="000000"/>
        </w:rPr>
      </w:pPr>
    </w:p>
    <w:p w:rsidR="002873D5" w:rsidRPr="00503A73" w:rsidRDefault="002873D5" w:rsidP="00CA75A3">
      <w:pPr>
        <w:tabs>
          <w:tab w:val="left" w:pos="3780"/>
        </w:tabs>
        <w:ind w:left="720" w:hanging="720"/>
        <w:jc w:val="both"/>
        <w:rPr>
          <w:color w:val="000000"/>
        </w:rPr>
      </w:pPr>
    </w:p>
    <w:p w:rsidR="002873D5" w:rsidRPr="00503A73" w:rsidRDefault="002873D5" w:rsidP="00CA75A3">
      <w:pPr>
        <w:pStyle w:val="NoSpacing"/>
        <w:ind w:left="720" w:hanging="720"/>
        <w:jc w:val="both"/>
        <w:rPr>
          <w:color w:val="000000"/>
        </w:rPr>
      </w:pPr>
    </w:p>
    <w:p w:rsidR="002873D5" w:rsidRPr="00503A73" w:rsidRDefault="002873D5" w:rsidP="00CA75A3">
      <w:pPr>
        <w:spacing w:line="480" w:lineRule="auto"/>
        <w:jc w:val="both"/>
      </w:pPr>
    </w:p>
    <w:p w:rsidR="00FF0141" w:rsidRPr="00503A73" w:rsidRDefault="00FF0141" w:rsidP="00CA75A3">
      <w:pPr>
        <w:pStyle w:val="NoSpacing"/>
        <w:spacing w:line="480" w:lineRule="auto"/>
        <w:ind w:firstLine="720"/>
        <w:jc w:val="both"/>
      </w:pPr>
    </w:p>
    <w:p w:rsidR="004E4015" w:rsidRPr="00503A73" w:rsidRDefault="004E4015" w:rsidP="00CA75A3">
      <w:pPr>
        <w:autoSpaceDE w:val="0"/>
        <w:autoSpaceDN w:val="0"/>
        <w:adjustRightInd w:val="0"/>
        <w:spacing w:line="480" w:lineRule="auto"/>
        <w:jc w:val="both"/>
      </w:pPr>
    </w:p>
    <w:p w:rsidR="002365CA" w:rsidRPr="00503A73" w:rsidRDefault="002365CA" w:rsidP="00CA75A3">
      <w:pPr>
        <w:spacing w:before="240" w:line="360" w:lineRule="auto"/>
        <w:jc w:val="both"/>
      </w:pPr>
    </w:p>
    <w:p w:rsidR="002365CA" w:rsidRPr="00503A73" w:rsidRDefault="002365CA" w:rsidP="00CA75A3">
      <w:pPr>
        <w:spacing w:line="480" w:lineRule="auto"/>
        <w:jc w:val="both"/>
        <w:rPr>
          <w:b/>
        </w:rPr>
      </w:pPr>
    </w:p>
    <w:p w:rsidR="002D4829" w:rsidRPr="00503A73" w:rsidRDefault="002D4829" w:rsidP="00CA75A3">
      <w:pPr>
        <w:spacing w:line="480" w:lineRule="auto"/>
        <w:ind w:firstLine="720"/>
        <w:jc w:val="both"/>
      </w:pPr>
    </w:p>
    <w:p w:rsidR="002D4829" w:rsidRPr="00503A73" w:rsidRDefault="002D4829" w:rsidP="00CA75A3">
      <w:pPr>
        <w:spacing w:line="480" w:lineRule="auto"/>
        <w:ind w:firstLine="720"/>
        <w:jc w:val="both"/>
      </w:pPr>
    </w:p>
    <w:p w:rsidR="00885133" w:rsidRPr="00503A73" w:rsidRDefault="00885133" w:rsidP="00CA75A3">
      <w:pPr>
        <w:jc w:val="both"/>
      </w:pPr>
    </w:p>
    <w:p w:rsidR="00A835B6" w:rsidRPr="00503A73" w:rsidRDefault="00A835B6" w:rsidP="00CA75A3">
      <w:pPr>
        <w:jc w:val="both"/>
      </w:pPr>
    </w:p>
    <w:sectPr w:rsidR="00A835B6" w:rsidRPr="00503A7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132B9"/>
    <w:multiLevelType w:val="hybridMultilevel"/>
    <w:tmpl w:val="C734ADAE"/>
    <w:lvl w:ilvl="0" w:tplc="D1D687C2">
      <w:start w:val="5"/>
      <w:numFmt w:val="lowerRoman"/>
      <w:lvlText w:val="%1."/>
      <w:lvlJc w:val="left"/>
      <w:pPr>
        <w:ind w:left="1545" w:hanging="72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 w15:restartNumberingAfterBreak="0">
    <w:nsid w:val="05D13FFD"/>
    <w:multiLevelType w:val="hybridMultilevel"/>
    <w:tmpl w:val="06322E4C"/>
    <w:lvl w:ilvl="0" w:tplc="7A44F52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EAD0AD6"/>
    <w:multiLevelType w:val="hybridMultilevel"/>
    <w:tmpl w:val="44700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AD1502"/>
    <w:multiLevelType w:val="hybridMultilevel"/>
    <w:tmpl w:val="8160B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255163"/>
    <w:multiLevelType w:val="hybridMultilevel"/>
    <w:tmpl w:val="0994B1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755"/>
    <w:rsid w:val="00003E9A"/>
    <w:rsid w:val="000170A8"/>
    <w:rsid w:val="00071D62"/>
    <w:rsid w:val="000F29D9"/>
    <w:rsid w:val="001C1A3D"/>
    <w:rsid w:val="001D12B3"/>
    <w:rsid w:val="001E0EB1"/>
    <w:rsid w:val="00211A35"/>
    <w:rsid w:val="00227ED9"/>
    <w:rsid w:val="002365CA"/>
    <w:rsid w:val="002540E4"/>
    <w:rsid w:val="00262D8E"/>
    <w:rsid w:val="002873D5"/>
    <w:rsid w:val="002B2439"/>
    <w:rsid w:val="002C654B"/>
    <w:rsid w:val="002D4829"/>
    <w:rsid w:val="002F03A2"/>
    <w:rsid w:val="003117CD"/>
    <w:rsid w:val="003178F6"/>
    <w:rsid w:val="00387A2B"/>
    <w:rsid w:val="003D44F4"/>
    <w:rsid w:val="003E6921"/>
    <w:rsid w:val="004004CB"/>
    <w:rsid w:val="00435C34"/>
    <w:rsid w:val="00436401"/>
    <w:rsid w:val="00452332"/>
    <w:rsid w:val="00460F00"/>
    <w:rsid w:val="004A3F44"/>
    <w:rsid w:val="004E4015"/>
    <w:rsid w:val="004F2D12"/>
    <w:rsid w:val="00503A73"/>
    <w:rsid w:val="005111A5"/>
    <w:rsid w:val="00564A8D"/>
    <w:rsid w:val="005B024F"/>
    <w:rsid w:val="005F72BD"/>
    <w:rsid w:val="0066098E"/>
    <w:rsid w:val="00671AFD"/>
    <w:rsid w:val="006870DE"/>
    <w:rsid w:val="006F06B0"/>
    <w:rsid w:val="00712089"/>
    <w:rsid w:val="007F6D88"/>
    <w:rsid w:val="00846022"/>
    <w:rsid w:val="00876763"/>
    <w:rsid w:val="008813E9"/>
    <w:rsid w:val="00885133"/>
    <w:rsid w:val="008A1C52"/>
    <w:rsid w:val="008D7DD6"/>
    <w:rsid w:val="008E608A"/>
    <w:rsid w:val="008F750D"/>
    <w:rsid w:val="00946CEA"/>
    <w:rsid w:val="009804B2"/>
    <w:rsid w:val="009D6EB1"/>
    <w:rsid w:val="00A835B6"/>
    <w:rsid w:val="00AA00F3"/>
    <w:rsid w:val="00AA20CC"/>
    <w:rsid w:val="00AA3755"/>
    <w:rsid w:val="00AF4DD5"/>
    <w:rsid w:val="00B536D6"/>
    <w:rsid w:val="00B95BD5"/>
    <w:rsid w:val="00BB4160"/>
    <w:rsid w:val="00BE2324"/>
    <w:rsid w:val="00C01441"/>
    <w:rsid w:val="00C0547C"/>
    <w:rsid w:val="00C47C19"/>
    <w:rsid w:val="00C616AC"/>
    <w:rsid w:val="00CA49B6"/>
    <w:rsid w:val="00CA75A3"/>
    <w:rsid w:val="00CB6D90"/>
    <w:rsid w:val="00CC5443"/>
    <w:rsid w:val="00CE05DB"/>
    <w:rsid w:val="00D412C0"/>
    <w:rsid w:val="00D730BA"/>
    <w:rsid w:val="00D86CB4"/>
    <w:rsid w:val="00D9058D"/>
    <w:rsid w:val="00E166FE"/>
    <w:rsid w:val="00E222FD"/>
    <w:rsid w:val="00E63DE3"/>
    <w:rsid w:val="00E7045F"/>
    <w:rsid w:val="00E877DA"/>
    <w:rsid w:val="00EC705E"/>
    <w:rsid w:val="00ED7B04"/>
    <w:rsid w:val="00EE2B19"/>
    <w:rsid w:val="00EF4DB8"/>
    <w:rsid w:val="00F25C6A"/>
    <w:rsid w:val="00F524C1"/>
    <w:rsid w:val="00F55BC4"/>
    <w:rsid w:val="00F66A39"/>
    <w:rsid w:val="00F83621"/>
    <w:rsid w:val="00FA41D4"/>
    <w:rsid w:val="00FC59B3"/>
    <w:rsid w:val="00FF0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DD2A60-EB7F-4642-9D96-15AB323FD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3755"/>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AA3755"/>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A3755"/>
    <w:rPr>
      <w:rFonts w:ascii="Arial" w:eastAsia="Times New Roman" w:hAnsi="Arial" w:cs="Arial"/>
      <w:b/>
      <w:bCs/>
      <w:i/>
      <w:iCs/>
      <w:sz w:val="28"/>
      <w:szCs w:val="28"/>
    </w:rPr>
  </w:style>
  <w:style w:type="paragraph" w:styleId="ListParagraph">
    <w:name w:val="List Paragraph"/>
    <w:basedOn w:val="Normal"/>
    <w:uiPriority w:val="34"/>
    <w:qFormat/>
    <w:rsid w:val="002D4829"/>
    <w:pPr>
      <w:ind w:left="720"/>
      <w:contextualSpacing/>
    </w:pPr>
  </w:style>
  <w:style w:type="paragraph" w:styleId="NoSpacing">
    <w:name w:val="No Spacing"/>
    <w:uiPriority w:val="1"/>
    <w:qFormat/>
    <w:rsid w:val="004E4015"/>
    <w:pPr>
      <w:spacing w:after="0" w:line="240" w:lineRule="auto"/>
    </w:pPr>
    <w:rPr>
      <w:rFonts w:ascii="Times New Roman" w:eastAsia="Times New Roman" w:hAnsi="Times New Roman" w:cs="Times New Roman"/>
      <w:sz w:val="24"/>
      <w:szCs w:val="24"/>
    </w:rPr>
  </w:style>
  <w:style w:type="character" w:styleId="Hyperlink">
    <w:name w:val="Hyperlink"/>
    <w:uiPriority w:val="99"/>
    <w:rsid w:val="00003E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eraldinsight.com/0024-2535.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333</TotalTime>
  <Pages>11</Pages>
  <Words>2566</Words>
  <Characters>14632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2348122227044</dc:creator>
  <cp:keywords/>
  <dc:description/>
  <cp:lastModifiedBy>2348122227044</cp:lastModifiedBy>
  <cp:revision>72</cp:revision>
  <dcterms:created xsi:type="dcterms:W3CDTF">2022-07-08T20:25:00Z</dcterms:created>
  <dcterms:modified xsi:type="dcterms:W3CDTF">2022-07-14T09:06:00Z</dcterms:modified>
</cp:coreProperties>
</file>