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383" w:rsidRPr="004670A7" w:rsidRDefault="00026383" w:rsidP="00026383">
      <w:pPr>
        <w:pStyle w:val="Default"/>
      </w:pPr>
    </w:p>
    <w:p w:rsidR="005E6EFF" w:rsidRDefault="0030496C" w:rsidP="004670A7">
      <w:pPr>
        <w:jc w:val="center"/>
        <w:rPr>
          <w:rFonts w:ascii="Times New Roman" w:hAnsi="Times New Roman" w:cs="Times New Roman"/>
          <w:b/>
          <w:bCs/>
          <w:sz w:val="24"/>
          <w:szCs w:val="24"/>
        </w:rPr>
      </w:pPr>
      <w:r>
        <w:rPr>
          <w:rFonts w:ascii="Times New Roman" w:hAnsi="Times New Roman" w:cs="Times New Roman"/>
          <w:b/>
          <w:bCs/>
          <w:sz w:val="24"/>
          <w:szCs w:val="24"/>
        </w:rPr>
        <w:t xml:space="preserve">EFFECT OF THINK-PAIR-SHARE ON ACADEMIC ACHIEVEMENT AND INTEREST OF </w:t>
      </w:r>
      <w:r w:rsidRPr="004670A7">
        <w:rPr>
          <w:rFonts w:ascii="Times New Roman" w:hAnsi="Times New Roman" w:cs="Times New Roman"/>
          <w:b/>
          <w:bCs/>
          <w:sz w:val="24"/>
          <w:szCs w:val="24"/>
        </w:rPr>
        <w:t>STUDENTS</w:t>
      </w:r>
      <w:r>
        <w:rPr>
          <w:rFonts w:ascii="Times New Roman" w:hAnsi="Times New Roman" w:cs="Times New Roman"/>
          <w:b/>
          <w:bCs/>
          <w:sz w:val="24"/>
          <w:szCs w:val="24"/>
        </w:rPr>
        <w:t>’ IN VOCATIONAL SUBJECTS</w:t>
      </w:r>
      <w:r w:rsidR="004670A7" w:rsidRPr="004670A7">
        <w:rPr>
          <w:rFonts w:ascii="Times New Roman" w:hAnsi="Times New Roman" w:cs="Times New Roman"/>
          <w:b/>
          <w:bCs/>
          <w:sz w:val="24"/>
          <w:szCs w:val="24"/>
        </w:rPr>
        <w:t xml:space="preserve"> IN </w:t>
      </w:r>
      <w:r w:rsidR="002074EB">
        <w:rPr>
          <w:rFonts w:ascii="Times New Roman" w:hAnsi="Times New Roman" w:cs="Times New Roman"/>
          <w:b/>
          <w:bCs/>
          <w:sz w:val="24"/>
          <w:szCs w:val="24"/>
        </w:rPr>
        <w:t xml:space="preserve">TECHNICAL </w:t>
      </w:r>
      <w:r w:rsidR="00E55AFE">
        <w:rPr>
          <w:rFonts w:ascii="Times New Roman" w:hAnsi="Times New Roman" w:cs="Times New Roman"/>
          <w:b/>
          <w:bCs/>
          <w:sz w:val="24"/>
          <w:szCs w:val="24"/>
        </w:rPr>
        <w:t>COLLEGES IN</w:t>
      </w:r>
      <w:r w:rsidR="004670A7" w:rsidRPr="004670A7">
        <w:rPr>
          <w:rFonts w:ascii="Times New Roman" w:hAnsi="Times New Roman" w:cs="Times New Roman"/>
          <w:b/>
          <w:bCs/>
          <w:sz w:val="24"/>
          <w:szCs w:val="24"/>
        </w:rPr>
        <w:t xml:space="preserve"> GOMBE STATE</w:t>
      </w:r>
    </w:p>
    <w:p w:rsidR="005E6EFF" w:rsidRDefault="005E6EFF" w:rsidP="004670A7">
      <w:pPr>
        <w:jc w:val="center"/>
        <w:rPr>
          <w:rFonts w:ascii="Times New Roman" w:hAnsi="Times New Roman" w:cs="Times New Roman"/>
          <w:b/>
          <w:bCs/>
          <w:sz w:val="24"/>
          <w:szCs w:val="24"/>
        </w:rPr>
      </w:pPr>
    </w:p>
    <w:p w:rsidR="005E6EFF" w:rsidRDefault="005E6EFF" w:rsidP="001F0F08">
      <w:pPr>
        <w:spacing w:after="0"/>
        <w:jc w:val="center"/>
        <w:rPr>
          <w:rFonts w:ascii="Times New Roman" w:hAnsi="Times New Roman" w:cs="Times New Roman"/>
          <w:sz w:val="24"/>
          <w:szCs w:val="24"/>
        </w:rPr>
      </w:pPr>
      <w:r w:rsidRPr="005E6EFF">
        <w:rPr>
          <w:rFonts w:ascii="Times New Roman" w:hAnsi="Times New Roman" w:cs="Times New Roman"/>
          <w:sz w:val="24"/>
          <w:szCs w:val="24"/>
        </w:rPr>
        <w:t>Mohammed Abdullahi</w:t>
      </w:r>
    </w:p>
    <w:p w:rsidR="005E6EFF" w:rsidRPr="005E6EFF" w:rsidRDefault="001F0F08" w:rsidP="001F0F08">
      <w:pPr>
        <w:spacing w:after="0"/>
        <w:jc w:val="center"/>
        <w:rPr>
          <w:rFonts w:ascii="Times New Roman" w:hAnsi="Times New Roman" w:cs="Times New Roman"/>
          <w:sz w:val="24"/>
          <w:szCs w:val="24"/>
        </w:rPr>
      </w:pPr>
      <w:r>
        <w:rPr>
          <w:rFonts w:ascii="Times New Roman" w:hAnsi="Times New Roman" w:cs="Times New Roman"/>
          <w:sz w:val="24"/>
          <w:szCs w:val="24"/>
        </w:rPr>
        <w:t>abdullahim</w:t>
      </w:r>
      <w:r w:rsidR="005E6EFF">
        <w:rPr>
          <w:rFonts w:ascii="Times New Roman" w:hAnsi="Times New Roman" w:cs="Times New Roman"/>
          <w:sz w:val="24"/>
          <w:szCs w:val="24"/>
        </w:rPr>
        <w:t>376@gmail.com</w:t>
      </w:r>
    </w:p>
    <w:p w:rsidR="005E6EFF" w:rsidRPr="005E6EFF" w:rsidRDefault="005E6EFF" w:rsidP="001F0F08">
      <w:pPr>
        <w:spacing w:after="0"/>
        <w:jc w:val="center"/>
        <w:rPr>
          <w:rFonts w:ascii="Times New Roman" w:hAnsi="Times New Roman" w:cs="Times New Roman"/>
          <w:sz w:val="24"/>
          <w:szCs w:val="24"/>
        </w:rPr>
      </w:pPr>
      <w:r w:rsidRPr="005E6EFF">
        <w:rPr>
          <w:rFonts w:ascii="Times New Roman" w:hAnsi="Times New Roman" w:cs="Times New Roman"/>
          <w:sz w:val="24"/>
          <w:szCs w:val="24"/>
        </w:rPr>
        <w:t>Department of Science Education</w:t>
      </w:r>
    </w:p>
    <w:p w:rsidR="005E6EFF" w:rsidRDefault="005E6EFF" w:rsidP="001F0F08">
      <w:pPr>
        <w:spacing w:after="0"/>
        <w:jc w:val="center"/>
        <w:rPr>
          <w:rFonts w:ascii="Times New Roman" w:hAnsi="Times New Roman" w:cs="Times New Roman"/>
          <w:sz w:val="24"/>
          <w:szCs w:val="24"/>
        </w:rPr>
      </w:pPr>
      <w:r w:rsidRPr="005E6EFF">
        <w:rPr>
          <w:rFonts w:ascii="Times New Roman" w:hAnsi="Times New Roman" w:cs="Times New Roman"/>
          <w:sz w:val="24"/>
          <w:szCs w:val="24"/>
        </w:rPr>
        <w:t xml:space="preserve">Federal University of </w:t>
      </w:r>
      <w:proofErr w:type="spellStart"/>
      <w:r w:rsidRPr="005E6EFF">
        <w:rPr>
          <w:rFonts w:ascii="Times New Roman" w:hAnsi="Times New Roman" w:cs="Times New Roman"/>
          <w:sz w:val="24"/>
          <w:szCs w:val="24"/>
        </w:rPr>
        <w:t>Kashere</w:t>
      </w:r>
      <w:proofErr w:type="spellEnd"/>
      <w:r w:rsidRPr="005E6EFF">
        <w:rPr>
          <w:rFonts w:ascii="Times New Roman" w:hAnsi="Times New Roman" w:cs="Times New Roman"/>
          <w:sz w:val="24"/>
          <w:szCs w:val="24"/>
        </w:rPr>
        <w:t>, Gombe</w:t>
      </w:r>
      <w:r w:rsidR="001F0F08">
        <w:rPr>
          <w:rFonts w:ascii="Times New Roman" w:hAnsi="Times New Roman" w:cs="Times New Roman"/>
          <w:sz w:val="24"/>
          <w:szCs w:val="24"/>
        </w:rPr>
        <w:t>, Gombe State</w:t>
      </w:r>
    </w:p>
    <w:p w:rsidR="001F0F08" w:rsidRPr="005E6EFF" w:rsidRDefault="001F0F08" w:rsidP="001F0F08">
      <w:pPr>
        <w:spacing w:after="0"/>
        <w:jc w:val="center"/>
        <w:rPr>
          <w:rFonts w:ascii="Times New Roman" w:hAnsi="Times New Roman" w:cs="Times New Roman"/>
          <w:sz w:val="24"/>
          <w:szCs w:val="24"/>
        </w:rPr>
      </w:pPr>
      <w:r>
        <w:rPr>
          <w:rFonts w:ascii="Times New Roman" w:hAnsi="Times New Roman" w:cs="Times New Roman"/>
          <w:sz w:val="24"/>
          <w:szCs w:val="24"/>
        </w:rPr>
        <w:t>and</w:t>
      </w:r>
    </w:p>
    <w:p w:rsidR="005E6EFF" w:rsidRPr="005E6EFF" w:rsidRDefault="005E6EFF" w:rsidP="001F0F08">
      <w:pPr>
        <w:spacing w:after="0"/>
        <w:jc w:val="center"/>
        <w:rPr>
          <w:rFonts w:ascii="Times New Roman" w:hAnsi="Times New Roman" w:cs="Times New Roman"/>
          <w:sz w:val="24"/>
          <w:szCs w:val="24"/>
        </w:rPr>
      </w:pPr>
      <w:proofErr w:type="spellStart"/>
      <w:r w:rsidRPr="005E6EFF">
        <w:rPr>
          <w:rFonts w:ascii="Times New Roman" w:hAnsi="Times New Roman" w:cs="Times New Roman"/>
          <w:sz w:val="24"/>
          <w:szCs w:val="24"/>
        </w:rPr>
        <w:t>Bashehu</w:t>
      </w:r>
      <w:proofErr w:type="spellEnd"/>
      <w:r w:rsidRPr="005E6EFF">
        <w:rPr>
          <w:rFonts w:ascii="Times New Roman" w:hAnsi="Times New Roman" w:cs="Times New Roman"/>
          <w:sz w:val="24"/>
          <w:szCs w:val="24"/>
        </w:rPr>
        <w:t xml:space="preserve"> Saleh</w:t>
      </w:r>
    </w:p>
    <w:p w:rsidR="005E6EFF" w:rsidRDefault="005E6EFF" w:rsidP="001F0F08">
      <w:pPr>
        <w:spacing w:after="0" w:line="240" w:lineRule="auto"/>
        <w:jc w:val="center"/>
        <w:rPr>
          <w:rFonts w:ascii="Times New Roman" w:hAnsi="Times New Roman" w:cs="Times New Roman"/>
          <w:sz w:val="24"/>
          <w:szCs w:val="24"/>
        </w:rPr>
      </w:pPr>
      <w:r w:rsidRPr="005E6EFF">
        <w:rPr>
          <w:rFonts w:ascii="Times New Roman" w:hAnsi="Times New Roman" w:cs="Times New Roman"/>
          <w:sz w:val="24"/>
          <w:szCs w:val="24"/>
        </w:rPr>
        <w:t xml:space="preserve">Department of </w:t>
      </w:r>
      <w:r w:rsidR="00DF4415">
        <w:rPr>
          <w:rFonts w:ascii="Times New Roman" w:hAnsi="Times New Roman" w:cs="Times New Roman"/>
          <w:sz w:val="24"/>
          <w:szCs w:val="24"/>
        </w:rPr>
        <w:t xml:space="preserve">Vocational and Entrepreneurships </w:t>
      </w:r>
      <w:r w:rsidR="001F0F08">
        <w:rPr>
          <w:rFonts w:ascii="Times New Roman" w:hAnsi="Times New Roman" w:cs="Times New Roman"/>
          <w:sz w:val="24"/>
          <w:szCs w:val="24"/>
        </w:rPr>
        <w:t>Education</w:t>
      </w:r>
    </w:p>
    <w:p w:rsidR="001F0F08" w:rsidRPr="005E6EFF" w:rsidRDefault="00DF4415" w:rsidP="001F0F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salehbashehu</w:t>
      </w:r>
      <w:r w:rsidR="001F0F08">
        <w:rPr>
          <w:rFonts w:ascii="Times New Roman" w:hAnsi="Times New Roman" w:cs="Times New Roman"/>
          <w:sz w:val="24"/>
          <w:szCs w:val="24"/>
        </w:rPr>
        <w:t>@gmail.com</w:t>
      </w:r>
    </w:p>
    <w:p w:rsidR="005E6EFF" w:rsidRPr="005E6EFF" w:rsidRDefault="00DF4415" w:rsidP="001F0F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University of Nigeria Nsukka</w:t>
      </w:r>
    </w:p>
    <w:p w:rsidR="002074EB" w:rsidRPr="004670A7" w:rsidRDefault="002074EB" w:rsidP="004670A7">
      <w:pPr>
        <w:jc w:val="center"/>
        <w:rPr>
          <w:rFonts w:ascii="Times New Roman" w:hAnsi="Times New Roman" w:cs="Times New Roman"/>
          <w:b/>
          <w:bCs/>
          <w:sz w:val="24"/>
          <w:szCs w:val="24"/>
        </w:rPr>
      </w:pPr>
    </w:p>
    <w:p w:rsidR="00026383" w:rsidRPr="004670A7" w:rsidRDefault="00026383" w:rsidP="00026383">
      <w:pPr>
        <w:pStyle w:val="Default"/>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436C5" w:rsidRDefault="000436C5" w:rsidP="001F0F08">
      <w:pPr>
        <w:pStyle w:val="Default"/>
        <w:spacing w:line="360" w:lineRule="auto"/>
        <w:jc w:val="center"/>
        <w:rPr>
          <w:b/>
          <w:bCs/>
        </w:rPr>
      </w:pPr>
    </w:p>
    <w:p w:rsidR="00026383" w:rsidRPr="004670A7" w:rsidRDefault="00026383" w:rsidP="001F0F08">
      <w:pPr>
        <w:pStyle w:val="Default"/>
        <w:spacing w:line="360" w:lineRule="auto"/>
        <w:jc w:val="center"/>
      </w:pPr>
      <w:r w:rsidRPr="004670A7">
        <w:rPr>
          <w:b/>
          <w:bCs/>
        </w:rPr>
        <w:lastRenderedPageBreak/>
        <w:t>ABSTRACT</w:t>
      </w:r>
    </w:p>
    <w:p w:rsidR="00026383" w:rsidRPr="00966158" w:rsidRDefault="00026383" w:rsidP="001F0F08">
      <w:pPr>
        <w:spacing w:line="360" w:lineRule="auto"/>
        <w:jc w:val="both"/>
      </w:pPr>
      <w:r w:rsidRPr="004670A7">
        <w:rPr>
          <w:rFonts w:ascii="Times New Roman" w:hAnsi="Times New Roman" w:cs="Times New Roman"/>
          <w:sz w:val="24"/>
          <w:szCs w:val="24"/>
        </w:rPr>
        <w:t xml:space="preserve">This study determined the effect of the Think-Pair-Share (TPS) strategy </w:t>
      </w:r>
      <w:r w:rsidR="00966158" w:rsidRPr="008E2509">
        <w:rPr>
          <w:rFonts w:ascii="Times New Roman" w:hAnsi="Times New Roman" w:cs="Times New Roman"/>
          <w:sz w:val="24"/>
          <w:szCs w:val="24"/>
        </w:rPr>
        <w:t>on academic</w:t>
      </w:r>
      <w:r w:rsidR="00DD1FA0">
        <w:t xml:space="preserve"> </w:t>
      </w:r>
      <w:r w:rsidRPr="004670A7">
        <w:rPr>
          <w:rFonts w:ascii="Times New Roman" w:hAnsi="Times New Roman" w:cs="Times New Roman"/>
          <w:sz w:val="24"/>
          <w:szCs w:val="24"/>
        </w:rPr>
        <w:t xml:space="preserve">achievement and interest </w:t>
      </w:r>
      <w:r w:rsidR="004D0671">
        <w:t xml:space="preserve">of </w:t>
      </w:r>
      <w:r w:rsidR="004D0671" w:rsidRPr="004670A7">
        <w:rPr>
          <w:rFonts w:ascii="Times New Roman" w:hAnsi="Times New Roman" w:cs="Times New Roman"/>
          <w:sz w:val="24"/>
          <w:szCs w:val="24"/>
        </w:rPr>
        <w:t>students’</w:t>
      </w:r>
      <w:r w:rsidR="004D0671">
        <w:t xml:space="preserve"> in</w:t>
      </w:r>
      <w:r w:rsidRPr="004670A7">
        <w:rPr>
          <w:rFonts w:ascii="Times New Roman" w:hAnsi="Times New Roman" w:cs="Times New Roman"/>
          <w:sz w:val="24"/>
          <w:szCs w:val="24"/>
        </w:rPr>
        <w:t xml:space="preserve"> </w:t>
      </w:r>
      <w:r w:rsidR="00966158" w:rsidRPr="00426D13">
        <w:rPr>
          <w:rFonts w:ascii="Times New Roman" w:hAnsi="Times New Roman" w:cs="Times New Roman"/>
          <w:bCs/>
          <w:sz w:val="24"/>
          <w:szCs w:val="24"/>
        </w:rPr>
        <w:t>Vocational Subjects</w:t>
      </w:r>
      <w:r w:rsidRPr="004670A7">
        <w:rPr>
          <w:rFonts w:ascii="Times New Roman" w:hAnsi="Times New Roman" w:cs="Times New Roman"/>
          <w:sz w:val="24"/>
          <w:szCs w:val="24"/>
        </w:rPr>
        <w:t xml:space="preserve"> in technical colleges in </w:t>
      </w:r>
      <w:r w:rsidR="00FD6C5F">
        <w:t>Gombe</w:t>
      </w:r>
      <w:r w:rsidRPr="004670A7">
        <w:rPr>
          <w:rFonts w:ascii="Times New Roman" w:hAnsi="Times New Roman" w:cs="Times New Roman"/>
          <w:sz w:val="24"/>
          <w:szCs w:val="24"/>
        </w:rPr>
        <w:t xml:space="preserve"> State, Nigeria. A quasi-experimental design, specifically the non-equivalent control group design, was used. A group of 259 Technical College II students was selected using simple random sampling from four technical col</w:t>
      </w:r>
      <w:r w:rsidR="004670A7">
        <w:t xml:space="preserve">leges. </w:t>
      </w:r>
      <w:r w:rsidR="004670A7" w:rsidRPr="008E2509">
        <w:rPr>
          <w:rFonts w:ascii="Times New Roman" w:hAnsi="Times New Roman" w:cs="Times New Roman"/>
          <w:sz w:val="24"/>
          <w:szCs w:val="24"/>
        </w:rPr>
        <w:t>Two research instruments</w:t>
      </w:r>
      <w:r w:rsidR="004670A7">
        <w:t xml:space="preserve"> </w:t>
      </w:r>
      <w:r w:rsidR="00966158">
        <w:rPr>
          <w:rFonts w:ascii="Times New Roman" w:hAnsi="Times New Roman" w:cs="Times New Roman"/>
          <w:sz w:val="24"/>
          <w:szCs w:val="24"/>
        </w:rPr>
        <w:t>Vocational Achievement Test (V</w:t>
      </w:r>
      <w:r w:rsidRPr="004670A7">
        <w:rPr>
          <w:rFonts w:ascii="Times New Roman" w:hAnsi="Times New Roman" w:cs="Times New Roman"/>
          <w:sz w:val="24"/>
          <w:szCs w:val="24"/>
        </w:rPr>
        <w:t xml:space="preserve">AT) and an Interest Inventory were employed for data collection. The instruments were validated by experts, and the reliability </w:t>
      </w:r>
      <w:r w:rsidR="00966158">
        <w:rPr>
          <w:rFonts w:ascii="Times New Roman" w:hAnsi="Times New Roman" w:cs="Times New Roman"/>
          <w:sz w:val="24"/>
          <w:szCs w:val="24"/>
        </w:rPr>
        <w:t>of the V</w:t>
      </w:r>
      <w:r w:rsidRPr="004670A7">
        <w:rPr>
          <w:rFonts w:ascii="Times New Roman" w:hAnsi="Times New Roman" w:cs="Times New Roman"/>
          <w:sz w:val="24"/>
          <w:szCs w:val="24"/>
        </w:rPr>
        <w:t>AT was determined using the Pearson Product Moment Correlation Coefficient, yielding a reliability index of 0.86. Data acquired were analyzed using mean, standard deviation, and Analysis of Covariance (ANCOVA). The results showed that</w:t>
      </w:r>
      <w:r w:rsidR="008E2509">
        <w:rPr>
          <w:rFonts w:ascii="Times New Roman" w:hAnsi="Times New Roman" w:cs="Times New Roman"/>
          <w:sz w:val="24"/>
          <w:szCs w:val="24"/>
        </w:rPr>
        <w:t xml:space="preserve"> students</w:t>
      </w:r>
      <w:r w:rsidRPr="004670A7">
        <w:rPr>
          <w:rFonts w:ascii="Times New Roman" w:hAnsi="Times New Roman" w:cs="Times New Roman"/>
          <w:sz w:val="24"/>
          <w:szCs w:val="24"/>
        </w:rPr>
        <w:t xml:space="preserve"> exposed to the TPS strategy performed substantially better and demonstrated greater interest in </w:t>
      </w:r>
      <w:r w:rsidR="00966158" w:rsidRPr="00426D13">
        <w:rPr>
          <w:rFonts w:ascii="Times New Roman" w:hAnsi="Times New Roman" w:cs="Times New Roman"/>
          <w:bCs/>
          <w:sz w:val="24"/>
          <w:szCs w:val="24"/>
        </w:rPr>
        <w:t>Vocational Subjects</w:t>
      </w:r>
      <w:r w:rsidR="00966158">
        <w:t xml:space="preserve"> </w:t>
      </w:r>
      <w:r w:rsidRPr="004670A7">
        <w:rPr>
          <w:rFonts w:ascii="Times New Roman" w:hAnsi="Times New Roman" w:cs="Times New Roman"/>
          <w:sz w:val="24"/>
          <w:szCs w:val="24"/>
        </w:rPr>
        <w:t xml:space="preserve">than those taught using conventional methods. TPS encouraged active engagement, peer collaboration, and deeper comprehension of concepts, which led to improved achievement and interest. The study concludes that Think-Pair-Share is an effective instructional strategy for increasing both academic performance and motivation in technical subjects. It recommends the integration of TPS into classroom teaching and regular training for educators on collaborative learning techniques to enhance teaching effectiveness and student outcomes in technical education. </w:t>
      </w:r>
    </w:p>
    <w:p w:rsidR="00026383" w:rsidRPr="004670A7" w:rsidRDefault="00026383" w:rsidP="00026383">
      <w:pPr>
        <w:rPr>
          <w:rFonts w:ascii="Times New Roman" w:hAnsi="Times New Roman" w:cs="Times New Roman"/>
          <w:sz w:val="24"/>
          <w:szCs w:val="24"/>
        </w:rPr>
      </w:pPr>
      <w:r w:rsidRPr="004670A7">
        <w:rPr>
          <w:rFonts w:ascii="Times New Roman" w:hAnsi="Times New Roman" w:cs="Times New Roman"/>
          <w:b/>
          <w:bCs/>
          <w:sz w:val="24"/>
          <w:szCs w:val="24"/>
        </w:rPr>
        <w:t xml:space="preserve">Keywords: </w:t>
      </w:r>
      <w:r w:rsidRPr="004670A7">
        <w:rPr>
          <w:rFonts w:ascii="Times New Roman" w:hAnsi="Times New Roman" w:cs="Times New Roman"/>
          <w:sz w:val="24"/>
          <w:szCs w:val="24"/>
        </w:rPr>
        <w:t xml:space="preserve">think-pair-share, academic achievement, interest, </w:t>
      </w:r>
      <w:r w:rsidR="00966158">
        <w:rPr>
          <w:rFonts w:ascii="Times New Roman" w:hAnsi="Times New Roman" w:cs="Times New Roman"/>
          <w:sz w:val="24"/>
          <w:szCs w:val="24"/>
        </w:rPr>
        <w:t>Vocational</w:t>
      </w:r>
    </w:p>
    <w:p w:rsidR="00026383" w:rsidRPr="004670A7" w:rsidRDefault="00026383" w:rsidP="00026383">
      <w:pPr>
        <w:pStyle w:val="Default"/>
      </w:pPr>
    </w:p>
    <w:p w:rsidR="00026383" w:rsidRPr="004670A7" w:rsidRDefault="00026383" w:rsidP="00641A05">
      <w:pPr>
        <w:pStyle w:val="Default"/>
        <w:spacing w:after="240"/>
      </w:pPr>
      <w:r w:rsidRPr="004670A7">
        <w:t xml:space="preserve"> </w:t>
      </w:r>
      <w:r w:rsidRPr="004670A7">
        <w:rPr>
          <w:b/>
          <w:bCs/>
        </w:rPr>
        <w:t xml:space="preserve">INTRODUCTION </w:t>
      </w:r>
    </w:p>
    <w:p w:rsidR="00026383" w:rsidRPr="004670A7" w:rsidRDefault="00966158" w:rsidP="00947F23">
      <w:pPr>
        <w:pStyle w:val="Default"/>
        <w:spacing w:line="360" w:lineRule="auto"/>
        <w:jc w:val="both"/>
      </w:pPr>
      <w:r w:rsidRPr="004670A7">
        <w:t xml:space="preserve">Vocational </w:t>
      </w:r>
      <w:r>
        <w:t xml:space="preserve">educational education is a </w:t>
      </w:r>
      <w:r w:rsidR="00026383" w:rsidRPr="004670A7">
        <w:t xml:space="preserve">disciplines taught in Nigerian technical colleges, offering students with both theoretical knowledge and practical abilities in areas such as </w:t>
      </w:r>
      <w:r>
        <w:t>agriculture education, business education, computer education</w:t>
      </w:r>
      <w:r w:rsidR="00FD6C5F">
        <w:t>. In Gombe</w:t>
      </w:r>
      <w:r w:rsidR="00026383" w:rsidRPr="004670A7">
        <w:t xml:space="preserve"> State, students enrolling in this field</w:t>
      </w:r>
      <w:r>
        <w:t>s</w:t>
      </w:r>
      <w:r w:rsidR="00026383" w:rsidRPr="004670A7">
        <w:t xml:space="preserve"> are instructed to obtain abilities that would allow them to contribute to the </w:t>
      </w:r>
      <w:r>
        <w:t>vocational education,</w:t>
      </w:r>
      <w:r w:rsidR="00026383" w:rsidRPr="004670A7">
        <w:t xml:space="preserve"> industry, either via employment or self-employment after graduation. However, the accomplishment of these aims primarily relies on the quality of the educational techniques </w:t>
      </w:r>
      <w:proofErr w:type="spellStart"/>
      <w:r w:rsidR="00026383" w:rsidRPr="004670A7">
        <w:t>utilised</w:t>
      </w:r>
      <w:proofErr w:type="spellEnd"/>
      <w:r w:rsidR="00026383" w:rsidRPr="004670A7">
        <w:t>. In many circumstances, conventional lecture-based techniques dominate the classroom, frequently resulting to passive learning, poor student engagement, and hampered academic accomplishment (</w:t>
      </w:r>
      <w:proofErr w:type="spellStart"/>
      <w:r w:rsidR="00026383" w:rsidRPr="004670A7">
        <w:t>Audu</w:t>
      </w:r>
      <w:proofErr w:type="spellEnd"/>
      <w:r w:rsidR="00026383" w:rsidRPr="004670A7">
        <w:t xml:space="preserve"> et al., 2020; Eli, 2021). </w:t>
      </w:r>
    </w:p>
    <w:p w:rsidR="004670A7" w:rsidRDefault="004670A7" w:rsidP="00947F23">
      <w:pPr>
        <w:pStyle w:val="Default"/>
        <w:spacing w:line="360" w:lineRule="auto"/>
      </w:pPr>
    </w:p>
    <w:p w:rsidR="00026383" w:rsidRPr="004670A7" w:rsidRDefault="00026383" w:rsidP="00947F23">
      <w:pPr>
        <w:pStyle w:val="Default"/>
        <w:spacing w:line="360" w:lineRule="auto"/>
        <w:jc w:val="both"/>
      </w:pPr>
      <w:r w:rsidRPr="004670A7">
        <w:lastRenderedPageBreak/>
        <w:t xml:space="preserve">The manner of education has a key influence in influencing how well students do and how deeply they connect with the topic. In the case of </w:t>
      </w:r>
      <w:r w:rsidR="00966158">
        <w:t>Vocational subjects</w:t>
      </w:r>
      <w:r w:rsidRPr="004670A7">
        <w:t xml:space="preserve">, which contains difficult technical topics that need both theoretical comprehension and hands-on application, typical teaching approaches may not give the required depth of involvement. Research has demonstrated that rote memorization and teacher-centered education typically result in poor retention and limited understanding, significantly influencing both academic achievement and student engagement (Lawrence &amp; Tar, 2018; </w:t>
      </w:r>
      <w:proofErr w:type="spellStart"/>
      <w:r w:rsidRPr="004670A7">
        <w:t>Ogbuanya</w:t>
      </w:r>
      <w:proofErr w:type="spellEnd"/>
      <w:r w:rsidRPr="004670A7">
        <w:t xml:space="preserve"> et al., 2021). In response, more interactive and student-centered tactics like Think-Pair-Share (TPS) have been adopted to improve students’ learning experiences, making it simpler for them to understand difficult ideas and stay involved in the subject matter. </w:t>
      </w:r>
    </w:p>
    <w:p w:rsidR="00FD6C5F" w:rsidRDefault="00FD6C5F" w:rsidP="00947F23">
      <w:pPr>
        <w:pStyle w:val="Default"/>
        <w:spacing w:line="360" w:lineRule="auto"/>
        <w:jc w:val="both"/>
      </w:pPr>
    </w:p>
    <w:p w:rsidR="00026383" w:rsidRPr="004670A7" w:rsidRDefault="00026383" w:rsidP="00947F23">
      <w:pPr>
        <w:pStyle w:val="Default"/>
        <w:spacing w:line="360" w:lineRule="auto"/>
        <w:jc w:val="both"/>
      </w:pPr>
      <w:r w:rsidRPr="004670A7">
        <w:t>Think-Pair-Share (TPS) is a collaborative learning strategy designed to foster student engagement and enhance learning outcomes by involving students in a three-step process: thinking about a question or topic individually, discussing their thoughts with a peer, and then sharing their insights with the larger group. This strategy has been demonstrated to increase knowledge, improve retention, and promote academic accomplishment (</w:t>
      </w:r>
      <w:proofErr w:type="spellStart"/>
      <w:r w:rsidRPr="004670A7">
        <w:t>Sejani</w:t>
      </w:r>
      <w:proofErr w:type="spellEnd"/>
      <w:r w:rsidRPr="004670A7">
        <w:t xml:space="preserve">, 2016; </w:t>
      </w:r>
      <w:proofErr w:type="spellStart"/>
      <w:r w:rsidRPr="004670A7">
        <w:t>Akanmu</w:t>
      </w:r>
      <w:proofErr w:type="spellEnd"/>
      <w:r w:rsidRPr="004670A7">
        <w:t xml:space="preserve">, 2019). In the environment of </w:t>
      </w:r>
      <w:r w:rsidR="00966158">
        <w:t>vocational education</w:t>
      </w:r>
      <w:r w:rsidRPr="004670A7">
        <w:t xml:space="preserve">, TPS enables students to cooperate on problem-solving, exchange ideas, and reinforce their mastery of important electrical principles. By promoting active involvement and peer interaction, TPS helps students better comprehend complicated concepts, leading to greater academic accomplishment. </w:t>
      </w:r>
    </w:p>
    <w:p w:rsidR="004670A7" w:rsidRDefault="004670A7" w:rsidP="00947F23">
      <w:pPr>
        <w:pStyle w:val="Default"/>
        <w:spacing w:line="360" w:lineRule="auto"/>
      </w:pPr>
    </w:p>
    <w:p w:rsidR="00026383" w:rsidRPr="004670A7" w:rsidRDefault="00026383" w:rsidP="00947F23">
      <w:pPr>
        <w:pStyle w:val="Default"/>
        <w:spacing w:line="360" w:lineRule="auto"/>
        <w:jc w:val="both"/>
      </w:pPr>
      <w:r w:rsidRPr="004670A7">
        <w:t xml:space="preserve">In addition to enhancing academic achievement, Think-Pair-Share also plays a key influence in developing students' interest in </w:t>
      </w:r>
      <w:r w:rsidR="00966158">
        <w:t>Vocational subjects</w:t>
      </w:r>
      <w:r w:rsidRPr="004670A7">
        <w:t xml:space="preserve">. Interest is a vital aspect in inspiring students to engage with and continue in their studies. When students find the subject matter interesting and entertaining, their intrinsic drive to study improves (Evita et al., 2019; </w:t>
      </w:r>
      <w:proofErr w:type="spellStart"/>
      <w:r w:rsidRPr="004670A7">
        <w:t>Napitupulu</w:t>
      </w:r>
      <w:proofErr w:type="spellEnd"/>
      <w:r w:rsidRPr="004670A7">
        <w:t xml:space="preserve"> &amp; Surya, 2017). TPS enhances student interest by creating an interactive, less formal learning environment where students are encouraged to share their ideas without the fear of judgment. This sense of collaboration and inclusivity fosters a deeper connection with the subject matter, making learning more meaningful and stimulating. As students become more interested in their studies, their overall engagement and academic achievement are likely to improve. </w:t>
      </w:r>
    </w:p>
    <w:p w:rsidR="004670A7" w:rsidRDefault="004670A7" w:rsidP="00947F23">
      <w:pPr>
        <w:spacing w:line="360" w:lineRule="auto"/>
        <w:rPr>
          <w:rFonts w:ascii="Times New Roman" w:hAnsi="Times New Roman" w:cs="Times New Roman"/>
          <w:sz w:val="24"/>
          <w:szCs w:val="24"/>
        </w:rPr>
      </w:pPr>
    </w:p>
    <w:p w:rsidR="00026383" w:rsidRPr="004670A7" w:rsidRDefault="00026383" w:rsidP="00947F23">
      <w:p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lastRenderedPageBreak/>
        <w:t xml:space="preserve">Think-Pair-Share provides considerable advantages for boosting both academic progress and interest in </w:t>
      </w:r>
      <w:r w:rsidR="00966158">
        <w:rPr>
          <w:rFonts w:ascii="Times New Roman" w:hAnsi="Times New Roman" w:cs="Times New Roman"/>
          <w:sz w:val="24"/>
          <w:szCs w:val="24"/>
        </w:rPr>
        <w:t>vocational subjects</w:t>
      </w:r>
      <w:r w:rsidRPr="004670A7">
        <w:rPr>
          <w:rFonts w:ascii="Times New Roman" w:hAnsi="Times New Roman" w:cs="Times New Roman"/>
          <w:sz w:val="24"/>
          <w:szCs w:val="24"/>
        </w:rPr>
        <w:t xml:space="preserve"> at technical colleges in </w:t>
      </w:r>
      <w:r w:rsidR="00FD6C5F">
        <w:rPr>
          <w:rFonts w:ascii="Times New Roman" w:hAnsi="Times New Roman" w:cs="Times New Roman"/>
          <w:sz w:val="24"/>
          <w:szCs w:val="24"/>
        </w:rPr>
        <w:t>Gombe</w:t>
      </w:r>
      <w:r w:rsidRPr="004670A7">
        <w:rPr>
          <w:rFonts w:ascii="Times New Roman" w:hAnsi="Times New Roman" w:cs="Times New Roman"/>
          <w:sz w:val="24"/>
          <w:szCs w:val="24"/>
        </w:rPr>
        <w:t xml:space="preserve"> State. By encouraging active student engagement, fostering cooperation, and developing critical thinking, TPS offers an excellent alternative to standard lecture approaches. This method not only enhances students’ knowledge of complicated </w:t>
      </w:r>
      <w:r w:rsidR="00966158">
        <w:rPr>
          <w:rFonts w:ascii="Times New Roman" w:hAnsi="Times New Roman" w:cs="Times New Roman"/>
          <w:sz w:val="24"/>
          <w:szCs w:val="24"/>
        </w:rPr>
        <w:t xml:space="preserve">vocational </w:t>
      </w:r>
      <w:r w:rsidRPr="004670A7">
        <w:rPr>
          <w:rFonts w:ascii="Times New Roman" w:hAnsi="Times New Roman" w:cs="Times New Roman"/>
          <w:sz w:val="24"/>
          <w:szCs w:val="24"/>
        </w:rPr>
        <w:t xml:space="preserve">concepts but also makes learning more pleasurable and engaging, which in turn raises student enthusiasm. When students are more motivated in their studies, their academic achievement is likely to improve, giving them with the skills and knowledge required to excel in the </w:t>
      </w:r>
      <w:r w:rsidR="00966158">
        <w:rPr>
          <w:rFonts w:ascii="Times New Roman" w:hAnsi="Times New Roman" w:cs="Times New Roman"/>
          <w:sz w:val="24"/>
          <w:szCs w:val="24"/>
        </w:rPr>
        <w:t>vocational subjects</w:t>
      </w:r>
      <w:r w:rsidRPr="004670A7">
        <w:rPr>
          <w:rFonts w:ascii="Times New Roman" w:hAnsi="Times New Roman" w:cs="Times New Roman"/>
          <w:sz w:val="24"/>
          <w:szCs w:val="24"/>
        </w:rPr>
        <w:t xml:space="preserve"> (Zakaria et al., 2019; </w:t>
      </w:r>
      <w:proofErr w:type="spellStart"/>
      <w:r w:rsidRPr="004670A7">
        <w:rPr>
          <w:rFonts w:ascii="Times New Roman" w:hAnsi="Times New Roman" w:cs="Times New Roman"/>
          <w:sz w:val="24"/>
          <w:szCs w:val="24"/>
        </w:rPr>
        <w:t>Ikelegbe</w:t>
      </w:r>
      <w:proofErr w:type="spellEnd"/>
      <w:r w:rsidRPr="004670A7">
        <w:rPr>
          <w:rFonts w:ascii="Times New Roman" w:hAnsi="Times New Roman" w:cs="Times New Roman"/>
          <w:sz w:val="24"/>
          <w:szCs w:val="24"/>
        </w:rPr>
        <w:t>, 2020). Based on the variations in research findings by various researchers, the researcher aimed at determining the effect of think-pair-share on acad</w:t>
      </w:r>
      <w:r w:rsidR="000E36E6">
        <w:rPr>
          <w:rFonts w:ascii="Times New Roman" w:hAnsi="Times New Roman" w:cs="Times New Roman"/>
          <w:sz w:val="24"/>
          <w:szCs w:val="24"/>
        </w:rPr>
        <w:t xml:space="preserve">emic achievement and interest of </w:t>
      </w:r>
      <w:r w:rsidR="000E36E6" w:rsidRPr="004670A7">
        <w:rPr>
          <w:rFonts w:ascii="Times New Roman" w:hAnsi="Times New Roman" w:cs="Times New Roman"/>
          <w:sz w:val="24"/>
          <w:szCs w:val="24"/>
        </w:rPr>
        <w:t>students</w:t>
      </w:r>
      <w:r w:rsidRPr="004670A7">
        <w:rPr>
          <w:rFonts w:ascii="Times New Roman" w:hAnsi="Times New Roman" w:cs="Times New Roman"/>
          <w:sz w:val="24"/>
          <w:szCs w:val="24"/>
        </w:rPr>
        <w:t xml:space="preserve"> </w:t>
      </w:r>
      <w:r w:rsidR="000E36E6">
        <w:rPr>
          <w:rFonts w:ascii="Times New Roman" w:hAnsi="Times New Roman" w:cs="Times New Roman"/>
          <w:sz w:val="24"/>
          <w:szCs w:val="24"/>
        </w:rPr>
        <w:t>in vocational subjects</w:t>
      </w:r>
      <w:r w:rsidRPr="004670A7">
        <w:rPr>
          <w:rFonts w:ascii="Times New Roman" w:hAnsi="Times New Roman" w:cs="Times New Roman"/>
          <w:sz w:val="24"/>
          <w:szCs w:val="24"/>
        </w:rPr>
        <w:t xml:space="preserve"> in technical colleges in </w:t>
      </w:r>
      <w:r w:rsidR="00FD6C5F">
        <w:rPr>
          <w:rFonts w:ascii="Times New Roman" w:hAnsi="Times New Roman" w:cs="Times New Roman"/>
          <w:sz w:val="24"/>
          <w:szCs w:val="24"/>
        </w:rPr>
        <w:t>Gombe</w:t>
      </w:r>
      <w:r w:rsidRPr="004670A7">
        <w:rPr>
          <w:rFonts w:ascii="Times New Roman" w:hAnsi="Times New Roman" w:cs="Times New Roman"/>
          <w:sz w:val="24"/>
          <w:szCs w:val="24"/>
        </w:rPr>
        <w:t xml:space="preserve"> State.</w:t>
      </w:r>
    </w:p>
    <w:p w:rsidR="00026383" w:rsidRPr="004670A7" w:rsidRDefault="00026383" w:rsidP="00D3249F">
      <w:pPr>
        <w:pStyle w:val="Default"/>
        <w:spacing w:line="360" w:lineRule="auto"/>
      </w:pPr>
      <w:r w:rsidRPr="004670A7">
        <w:rPr>
          <w:b/>
          <w:bCs/>
        </w:rPr>
        <w:t xml:space="preserve">Statement of the Problem </w:t>
      </w:r>
    </w:p>
    <w:p w:rsidR="004670A7" w:rsidRDefault="003476FB" w:rsidP="00D3249F">
      <w:pPr>
        <w:pStyle w:val="Default"/>
        <w:spacing w:line="360" w:lineRule="auto"/>
        <w:jc w:val="both"/>
      </w:pPr>
      <w:r>
        <w:t>In Gombe</w:t>
      </w:r>
      <w:r w:rsidR="00026383" w:rsidRPr="004670A7">
        <w:t xml:space="preserve"> State, many technical institutes providing </w:t>
      </w:r>
      <w:r w:rsidR="000E36E6">
        <w:t>vocational education</w:t>
      </w:r>
      <w:r w:rsidR="00026383" w:rsidRPr="004670A7">
        <w:t xml:space="preserve"> suffer with poor levels of student involvement and academic accomplishment. Traditional teaching approaches, especially the lecture-based approach, sometimes fail to develop the amount of engagement and critical thought essential for students to truly comprehend complicated </w:t>
      </w:r>
      <w:r w:rsidR="000E36E6">
        <w:t>vocational</w:t>
      </w:r>
      <w:r w:rsidR="00026383" w:rsidRPr="004670A7">
        <w:t xml:space="preserve"> concepts. As a consequence, students are disengaged, which hinders their ability to remember critical information and acquire practical skills necessary in the profession. These deficiencies not only affect their academic accomplishment but also reduce their desire in pursuing additional studies or professions in the </w:t>
      </w:r>
      <w:r w:rsidR="000E36E6">
        <w:t>vocational related industries</w:t>
      </w:r>
      <w:r w:rsidR="00026383" w:rsidRPr="004670A7">
        <w:t xml:space="preserve">. The absence of effective teaching practices that foster active involvement and cooperation exacerbates the problem, leaving students underprepared for real-world applications of the information they receive. Given the significance of student involvement in vocational education, Think-Pair-Share (TPS) has emerged as a potential technique to boost both academic achievement and student interest. </w:t>
      </w:r>
    </w:p>
    <w:p w:rsidR="00026383" w:rsidRPr="004670A7" w:rsidRDefault="00026383" w:rsidP="00947F23">
      <w:p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However, there is insufficient study on how TPS might be successfully applied in </w:t>
      </w:r>
      <w:r w:rsidR="00C27AF5">
        <w:rPr>
          <w:rFonts w:ascii="Times New Roman" w:hAnsi="Times New Roman" w:cs="Times New Roman"/>
          <w:sz w:val="24"/>
          <w:szCs w:val="24"/>
        </w:rPr>
        <w:t>vocational</w:t>
      </w:r>
      <w:r w:rsidRPr="004670A7">
        <w:rPr>
          <w:rFonts w:ascii="Times New Roman" w:hAnsi="Times New Roman" w:cs="Times New Roman"/>
          <w:sz w:val="24"/>
          <w:szCs w:val="24"/>
        </w:rPr>
        <w:t xml:space="preserve"> courses inside technical institutes in </w:t>
      </w:r>
      <w:r w:rsidR="003476FB">
        <w:rPr>
          <w:rFonts w:ascii="Times New Roman" w:hAnsi="Times New Roman" w:cs="Times New Roman"/>
          <w:sz w:val="24"/>
          <w:szCs w:val="24"/>
        </w:rPr>
        <w:t>Gombe</w:t>
      </w:r>
      <w:r w:rsidRPr="004670A7">
        <w:rPr>
          <w:rFonts w:ascii="Times New Roman" w:hAnsi="Times New Roman" w:cs="Times New Roman"/>
          <w:sz w:val="24"/>
          <w:szCs w:val="24"/>
        </w:rPr>
        <w:t xml:space="preserve"> State. While TPS has been found to boost student cooperation, problem-solving abilities, and enthusiasm in different disciplines, its particular influence on </w:t>
      </w:r>
      <w:r w:rsidR="00C27AF5">
        <w:rPr>
          <w:rFonts w:ascii="Times New Roman" w:hAnsi="Times New Roman" w:cs="Times New Roman"/>
          <w:sz w:val="24"/>
          <w:szCs w:val="24"/>
        </w:rPr>
        <w:t>vocational students</w:t>
      </w:r>
      <w:r w:rsidRPr="004670A7">
        <w:rPr>
          <w:rFonts w:ascii="Times New Roman" w:hAnsi="Times New Roman" w:cs="Times New Roman"/>
          <w:sz w:val="24"/>
          <w:szCs w:val="24"/>
        </w:rPr>
        <w:t xml:space="preserve"> remains underexplored. This research intends to address this gap by studying the influence of the Think-Pair-Share technique </w:t>
      </w:r>
      <w:r w:rsidR="00D3249F" w:rsidRPr="004670A7">
        <w:rPr>
          <w:rFonts w:ascii="Times New Roman" w:hAnsi="Times New Roman" w:cs="Times New Roman"/>
          <w:sz w:val="24"/>
          <w:szCs w:val="24"/>
        </w:rPr>
        <w:t>on academic</w:t>
      </w:r>
      <w:r w:rsidRPr="004670A7">
        <w:rPr>
          <w:rFonts w:ascii="Times New Roman" w:hAnsi="Times New Roman" w:cs="Times New Roman"/>
          <w:sz w:val="24"/>
          <w:szCs w:val="24"/>
        </w:rPr>
        <w:t xml:space="preserve"> achievement and intere</w:t>
      </w:r>
      <w:r w:rsidR="003476FB">
        <w:rPr>
          <w:rFonts w:ascii="Times New Roman" w:hAnsi="Times New Roman" w:cs="Times New Roman"/>
          <w:sz w:val="24"/>
          <w:szCs w:val="24"/>
        </w:rPr>
        <w:t xml:space="preserve">st </w:t>
      </w:r>
      <w:r w:rsidR="00C27AF5">
        <w:rPr>
          <w:rFonts w:ascii="Times New Roman" w:hAnsi="Times New Roman" w:cs="Times New Roman"/>
          <w:sz w:val="24"/>
          <w:szCs w:val="24"/>
        </w:rPr>
        <w:t xml:space="preserve">of </w:t>
      </w:r>
      <w:r w:rsidR="00C27AF5" w:rsidRPr="004670A7">
        <w:rPr>
          <w:rFonts w:ascii="Times New Roman" w:hAnsi="Times New Roman" w:cs="Times New Roman"/>
          <w:sz w:val="24"/>
          <w:szCs w:val="24"/>
        </w:rPr>
        <w:t xml:space="preserve">students </w:t>
      </w:r>
      <w:r w:rsidR="00C27AF5">
        <w:rPr>
          <w:rFonts w:ascii="Times New Roman" w:hAnsi="Times New Roman" w:cs="Times New Roman"/>
          <w:sz w:val="24"/>
          <w:szCs w:val="24"/>
        </w:rPr>
        <w:t>‘</w:t>
      </w:r>
      <w:r w:rsidR="008E4870">
        <w:rPr>
          <w:rFonts w:ascii="Times New Roman" w:hAnsi="Times New Roman" w:cs="Times New Roman"/>
          <w:sz w:val="24"/>
          <w:szCs w:val="24"/>
        </w:rPr>
        <w:t>in vocational</w:t>
      </w:r>
      <w:r w:rsidR="00C27AF5">
        <w:rPr>
          <w:rFonts w:ascii="Times New Roman" w:hAnsi="Times New Roman" w:cs="Times New Roman"/>
          <w:sz w:val="24"/>
          <w:szCs w:val="24"/>
        </w:rPr>
        <w:t xml:space="preserve"> subjects</w:t>
      </w:r>
      <w:r w:rsidR="003476FB">
        <w:rPr>
          <w:rFonts w:ascii="Times New Roman" w:hAnsi="Times New Roman" w:cs="Times New Roman"/>
          <w:sz w:val="24"/>
          <w:szCs w:val="24"/>
        </w:rPr>
        <w:t xml:space="preserve"> in Gombe</w:t>
      </w:r>
      <w:r w:rsidRPr="004670A7">
        <w:rPr>
          <w:rFonts w:ascii="Times New Roman" w:hAnsi="Times New Roman" w:cs="Times New Roman"/>
          <w:sz w:val="24"/>
          <w:szCs w:val="24"/>
        </w:rPr>
        <w:t xml:space="preserve"> State’s technical colleges. Through this research, the </w:t>
      </w:r>
      <w:r w:rsidRPr="004670A7">
        <w:rPr>
          <w:rFonts w:ascii="Times New Roman" w:hAnsi="Times New Roman" w:cs="Times New Roman"/>
          <w:sz w:val="24"/>
          <w:szCs w:val="24"/>
        </w:rPr>
        <w:lastRenderedPageBreak/>
        <w:t xml:space="preserve">study seeks to evaluate if TPS may create better academic achievements and generate higher enthusiasm among students in pursuing professions in the </w:t>
      </w:r>
      <w:r w:rsidR="00C27AF5">
        <w:rPr>
          <w:rFonts w:ascii="Times New Roman" w:hAnsi="Times New Roman" w:cs="Times New Roman"/>
          <w:sz w:val="24"/>
          <w:szCs w:val="24"/>
        </w:rPr>
        <w:t>vocational fields</w:t>
      </w:r>
      <w:r w:rsidRPr="004670A7">
        <w:rPr>
          <w:rFonts w:ascii="Times New Roman" w:hAnsi="Times New Roman" w:cs="Times New Roman"/>
          <w:sz w:val="24"/>
          <w:szCs w:val="24"/>
        </w:rPr>
        <w:t>.</w:t>
      </w:r>
    </w:p>
    <w:p w:rsidR="004670A7" w:rsidRDefault="00026383" w:rsidP="00026383">
      <w:pPr>
        <w:pStyle w:val="Default"/>
      </w:pPr>
      <w:r w:rsidRPr="004670A7">
        <w:rPr>
          <w:b/>
          <w:bCs/>
        </w:rPr>
        <w:t xml:space="preserve">Purpose of the Study </w:t>
      </w:r>
    </w:p>
    <w:p w:rsidR="00026383" w:rsidRPr="004670A7" w:rsidRDefault="004670A7" w:rsidP="008E2509">
      <w:pPr>
        <w:pStyle w:val="Default"/>
        <w:numPr>
          <w:ilvl w:val="0"/>
          <w:numId w:val="3"/>
        </w:numPr>
        <w:spacing w:before="240" w:line="360" w:lineRule="auto"/>
      </w:pPr>
      <w:r>
        <w:t>Determine </w:t>
      </w:r>
      <w:r w:rsidR="00026383" w:rsidRPr="004670A7">
        <w:t>th</w:t>
      </w:r>
      <w:r>
        <w:t>e effect of think pair share on </w:t>
      </w:r>
      <w:r w:rsidR="00026383" w:rsidRPr="004670A7">
        <w:t>st</w:t>
      </w:r>
      <w:r>
        <w:t>udents’ academic achievement in </w:t>
      </w:r>
      <w:r w:rsidR="002F247A">
        <w:t>vocational subjects</w:t>
      </w:r>
      <w:r w:rsidR="00026383" w:rsidRPr="004670A7">
        <w:t xml:space="preserve"> in technical colleges in </w:t>
      </w:r>
      <w:r w:rsidR="003476FB">
        <w:t>Gombe</w:t>
      </w:r>
      <w:r w:rsidR="00026383" w:rsidRPr="004670A7">
        <w:t xml:space="preserve"> State. </w:t>
      </w:r>
    </w:p>
    <w:p w:rsidR="00026383" w:rsidRPr="004670A7" w:rsidRDefault="00026383" w:rsidP="008E2509">
      <w:pPr>
        <w:pStyle w:val="Default"/>
        <w:numPr>
          <w:ilvl w:val="0"/>
          <w:numId w:val="3"/>
        </w:numPr>
        <w:spacing w:before="240" w:line="360" w:lineRule="auto"/>
        <w:jc w:val="both"/>
      </w:pPr>
      <w:r w:rsidRPr="004670A7">
        <w:t xml:space="preserve">Determine the effect of think-pair-share on students’ interest in </w:t>
      </w:r>
      <w:r w:rsidR="002F247A">
        <w:t>vocational subjects</w:t>
      </w:r>
      <w:r w:rsidRPr="004670A7">
        <w:t xml:space="preserve"> in technical colleges in </w:t>
      </w:r>
      <w:r w:rsidR="003476FB">
        <w:t>Gombe</w:t>
      </w:r>
      <w:r w:rsidRPr="004670A7">
        <w:t xml:space="preserve"> State. </w:t>
      </w:r>
    </w:p>
    <w:p w:rsidR="00026383" w:rsidRPr="004670A7" w:rsidRDefault="00026383" w:rsidP="008C01F0">
      <w:pPr>
        <w:pStyle w:val="Default"/>
        <w:spacing w:after="240"/>
      </w:pPr>
      <w:r w:rsidRPr="004670A7">
        <w:rPr>
          <w:b/>
          <w:bCs/>
        </w:rPr>
        <w:t xml:space="preserve">Research Questions </w:t>
      </w:r>
    </w:p>
    <w:p w:rsidR="004670A7" w:rsidRDefault="00026383" w:rsidP="008C01F0">
      <w:pPr>
        <w:pStyle w:val="Default"/>
        <w:numPr>
          <w:ilvl w:val="0"/>
          <w:numId w:val="1"/>
        </w:numPr>
        <w:spacing w:after="240" w:line="360" w:lineRule="auto"/>
      </w:pPr>
      <w:r w:rsidRPr="004670A7">
        <w:t xml:space="preserve">What are the mean achievement scores of students taught </w:t>
      </w:r>
      <w:r w:rsidR="002F247A">
        <w:t>vocational subjects</w:t>
      </w:r>
      <w:r w:rsidR="002F247A" w:rsidRPr="004670A7">
        <w:t xml:space="preserve"> </w:t>
      </w:r>
      <w:r w:rsidRPr="004670A7">
        <w:t xml:space="preserve">using think-pair-share and those taught using conventional teaching method? </w:t>
      </w:r>
    </w:p>
    <w:p w:rsidR="00026383" w:rsidRPr="004670A7" w:rsidRDefault="00026383" w:rsidP="008C01F0">
      <w:pPr>
        <w:pStyle w:val="Default"/>
        <w:numPr>
          <w:ilvl w:val="0"/>
          <w:numId w:val="1"/>
        </w:numPr>
        <w:spacing w:line="360" w:lineRule="auto"/>
      </w:pPr>
      <w:r w:rsidRPr="004670A7">
        <w:t xml:space="preserve">What are the mean interest scores of students taught </w:t>
      </w:r>
      <w:r w:rsidR="002F247A">
        <w:t>vocational subjects</w:t>
      </w:r>
      <w:r w:rsidRPr="004670A7">
        <w:t xml:space="preserve"> using think-pair-share and those taught using conventional teaching method? </w:t>
      </w:r>
    </w:p>
    <w:p w:rsidR="00026383" w:rsidRPr="004670A7" w:rsidRDefault="00026383" w:rsidP="00947F23">
      <w:pPr>
        <w:pStyle w:val="Default"/>
        <w:spacing w:line="360" w:lineRule="auto"/>
      </w:pPr>
      <w:r w:rsidRPr="004670A7">
        <w:rPr>
          <w:b/>
          <w:bCs/>
        </w:rPr>
        <w:t xml:space="preserve">Hypotheses </w:t>
      </w:r>
    </w:p>
    <w:p w:rsidR="00026383" w:rsidRPr="004670A7" w:rsidRDefault="00026383" w:rsidP="00947F23">
      <w:pPr>
        <w:pStyle w:val="Default"/>
        <w:spacing w:line="360" w:lineRule="auto"/>
      </w:pPr>
      <w:r w:rsidRPr="004670A7">
        <w:t xml:space="preserve">The following null hypotheses were formulated and tested at 0.05 level of significance. </w:t>
      </w:r>
    </w:p>
    <w:p w:rsidR="004670A7" w:rsidRDefault="004670A7" w:rsidP="00947F23">
      <w:pPr>
        <w:pStyle w:val="Default"/>
        <w:spacing w:line="360" w:lineRule="auto"/>
      </w:pPr>
    </w:p>
    <w:p w:rsidR="00026383" w:rsidRPr="004670A7" w:rsidRDefault="004670A7" w:rsidP="00947F23">
      <w:pPr>
        <w:pStyle w:val="Default"/>
        <w:spacing w:line="360" w:lineRule="auto"/>
        <w:jc w:val="both"/>
      </w:pPr>
      <w:r>
        <w:t>H</w:t>
      </w:r>
      <w:r w:rsidRPr="004670A7">
        <w:rPr>
          <w:vertAlign w:val="subscript"/>
        </w:rPr>
        <w:t>0</w:t>
      </w:r>
      <w:r w:rsidR="00FD6C5F">
        <w:rPr>
          <w:vertAlign w:val="subscript"/>
        </w:rPr>
        <w:t xml:space="preserve"> </w:t>
      </w:r>
      <w:r w:rsidR="00FD6C5F">
        <w:t xml:space="preserve">    </w:t>
      </w:r>
      <w:r w:rsidR="00026383" w:rsidRPr="004670A7">
        <w:t xml:space="preserve">There is no significant difference in the mean achievement scores of students taught </w:t>
      </w:r>
      <w:r w:rsidR="002F247A">
        <w:t>vocational subjects</w:t>
      </w:r>
      <w:r w:rsidR="00026383" w:rsidRPr="004670A7">
        <w:t xml:space="preserve"> using think-pair-share and those taught using the conventional approach. </w:t>
      </w:r>
    </w:p>
    <w:p w:rsidR="004670A7" w:rsidRDefault="004670A7" w:rsidP="00947F23">
      <w:pPr>
        <w:pStyle w:val="Default"/>
        <w:spacing w:line="360" w:lineRule="auto"/>
      </w:pPr>
    </w:p>
    <w:p w:rsidR="00026383" w:rsidRPr="004670A7" w:rsidRDefault="004670A7" w:rsidP="00947F23">
      <w:pPr>
        <w:pStyle w:val="Default"/>
        <w:spacing w:line="360" w:lineRule="auto"/>
        <w:jc w:val="both"/>
      </w:pPr>
      <w:r>
        <w:t>H</w:t>
      </w:r>
      <w:r w:rsidRPr="004670A7">
        <w:rPr>
          <w:vertAlign w:val="subscript"/>
        </w:rPr>
        <w:t>1</w:t>
      </w:r>
      <w:r w:rsidR="00FD6C5F">
        <w:rPr>
          <w:vertAlign w:val="subscript"/>
        </w:rPr>
        <w:t xml:space="preserve">        </w:t>
      </w:r>
      <w:r w:rsidR="00026383" w:rsidRPr="004670A7">
        <w:t xml:space="preserve">There is no significant difference in the mean interest scores of students taught </w:t>
      </w:r>
      <w:r w:rsidR="002F247A">
        <w:t>vocational subjects</w:t>
      </w:r>
      <w:r w:rsidR="002F247A" w:rsidRPr="004670A7">
        <w:t xml:space="preserve"> </w:t>
      </w:r>
      <w:r w:rsidR="00026383" w:rsidRPr="004670A7">
        <w:t xml:space="preserve">using think-pair-share and those taught using the conventional approach. </w:t>
      </w:r>
    </w:p>
    <w:p w:rsidR="004670A7" w:rsidRDefault="004670A7" w:rsidP="00947F23">
      <w:pPr>
        <w:pStyle w:val="Default"/>
        <w:spacing w:line="360" w:lineRule="auto"/>
        <w:rPr>
          <w:b/>
          <w:bCs/>
        </w:rPr>
      </w:pPr>
    </w:p>
    <w:p w:rsidR="00026383" w:rsidRPr="004670A7" w:rsidRDefault="00026383" w:rsidP="00947F23">
      <w:pPr>
        <w:pStyle w:val="Default"/>
        <w:spacing w:line="360" w:lineRule="auto"/>
      </w:pPr>
      <w:r w:rsidRPr="004670A7">
        <w:rPr>
          <w:b/>
          <w:bCs/>
        </w:rPr>
        <w:t xml:space="preserve">METHODOLOGY </w:t>
      </w:r>
    </w:p>
    <w:p w:rsidR="00026383" w:rsidRPr="004670A7" w:rsidRDefault="00026383" w:rsidP="00947F23">
      <w:p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The design of this study was quasi-experimental. Specifically, the non-equivalent control group design was adopted for the study. This study was conducted in Technical Colleges in </w:t>
      </w:r>
      <w:r w:rsidR="004F3D86">
        <w:rPr>
          <w:rFonts w:ascii="Times New Roman" w:hAnsi="Times New Roman" w:cs="Times New Roman"/>
          <w:sz w:val="24"/>
          <w:szCs w:val="24"/>
        </w:rPr>
        <w:t>Gombe</w:t>
      </w:r>
      <w:r w:rsidRPr="004670A7">
        <w:rPr>
          <w:rFonts w:ascii="Times New Roman" w:hAnsi="Times New Roman" w:cs="Times New Roman"/>
          <w:sz w:val="24"/>
          <w:szCs w:val="24"/>
        </w:rPr>
        <w:t xml:space="preserve"> state, Nigeria. The population of the study was 432 TC II students from six technical colleges in </w:t>
      </w:r>
      <w:r w:rsidR="004B2CCC">
        <w:rPr>
          <w:rFonts w:ascii="Times New Roman" w:hAnsi="Times New Roman" w:cs="Times New Roman"/>
          <w:sz w:val="24"/>
          <w:szCs w:val="24"/>
        </w:rPr>
        <w:t>Gombe</w:t>
      </w:r>
      <w:r w:rsidRPr="004670A7">
        <w:rPr>
          <w:rFonts w:ascii="Times New Roman" w:hAnsi="Times New Roman" w:cs="Times New Roman"/>
          <w:sz w:val="24"/>
          <w:szCs w:val="24"/>
        </w:rPr>
        <w:t xml:space="preserve"> State. Simple random sampling was used to select four technical colleges with population of 259 students. Three experts from Department of </w:t>
      </w:r>
      <w:r w:rsidR="004B2CCC">
        <w:rPr>
          <w:rFonts w:ascii="Times New Roman" w:hAnsi="Times New Roman" w:cs="Times New Roman"/>
          <w:sz w:val="24"/>
          <w:szCs w:val="24"/>
        </w:rPr>
        <w:t>Science</w:t>
      </w:r>
      <w:r w:rsidRPr="004670A7">
        <w:rPr>
          <w:rFonts w:ascii="Times New Roman" w:hAnsi="Times New Roman" w:cs="Times New Roman"/>
          <w:sz w:val="24"/>
          <w:szCs w:val="24"/>
        </w:rPr>
        <w:t xml:space="preserve"> Education, Federal University of </w:t>
      </w:r>
      <w:proofErr w:type="spellStart"/>
      <w:r w:rsidR="004B2CCC">
        <w:rPr>
          <w:rFonts w:ascii="Times New Roman" w:hAnsi="Times New Roman" w:cs="Times New Roman"/>
          <w:sz w:val="24"/>
          <w:szCs w:val="24"/>
        </w:rPr>
        <w:t>Kashere</w:t>
      </w:r>
      <w:proofErr w:type="spellEnd"/>
      <w:r w:rsidRPr="004670A7">
        <w:rPr>
          <w:rFonts w:ascii="Times New Roman" w:hAnsi="Times New Roman" w:cs="Times New Roman"/>
          <w:sz w:val="24"/>
          <w:szCs w:val="24"/>
        </w:rPr>
        <w:t xml:space="preserve">, </w:t>
      </w:r>
      <w:r w:rsidR="004B2CCC">
        <w:rPr>
          <w:rFonts w:ascii="Times New Roman" w:hAnsi="Times New Roman" w:cs="Times New Roman"/>
          <w:sz w:val="24"/>
          <w:szCs w:val="24"/>
        </w:rPr>
        <w:t>Gombe State</w:t>
      </w:r>
      <w:r w:rsidRPr="004670A7">
        <w:rPr>
          <w:rFonts w:ascii="Times New Roman" w:hAnsi="Times New Roman" w:cs="Times New Roman"/>
          <w:sz w:val="24"/>
          <w:szCs w:val="24"/>
        </w:rPr>
        <w:t xml:space="preserve"> validated the instruments. The instrument was pilot tested on 40 </w:t>
      </w:r>
      <w:r w:rsidR="008E2509">
        <w:rPr>
          <w:rFonts w:ascii="Times New Roman" w:hAnsi="Times New Roman" w:cs="Times New Roman"/>
          <w:sz w:val="24"/>
          <w:szCs w:val="24"/>
        </w:rPr>
        <w:t>College</w:t>
      </w:r>
      <w:r w:rsidRPr="004670A7">
        <w:rPr>
          <w:rFonts w:ascii="Times New Roman" w:hAnsi="Times New Roman" w:cs="Times New Roman"/>
          <w:sz w:val="24"/>
          <w:szCs w:val="24"/>
        </w:rPr>
        <w:t xml:space="preserve"> students from Government Technical College </w:t>
      </w:r>
      <w:proofErr w:type="spellStart"/>
      <w:r w:rsidR="004B2CCC">
        <w:rPr>
          <w:rFonts w:ascii="Times New Roman" w:hAnsi="Times New Roman" w:cs="Times New Roman"/>
          <w:sz w:val="24"/>
          <w:szCs w:val="24"/>
        </w:rPr>
        <w:t>Kumo</w:t>
      </w:r>
      <w:proofErr w:type="spellEnd"/>
      <w:r w:rsidRPr="004670A7">
        <w:rPr>
          <w:rFonts w:ascii="Times New Roman" w:hAnsi="Times New Roman" w:cs="Times New Roman"/>
          <w:sz w:val="24"/>
          <w:szCs w:val="24"/>
        </w:rPr>
        <w:t xml:space="preserve"> which is not part of the popul</w:t>
      </w:r>
      <w:r w:rsidR="002F247A">
        <w:rPr>
          <w:rFonts w:ascii="Times New Roman" w:hAnsi="Times New Roman" w:cs="Times New Roman"/>
          <w:sz w:val="24"/>
          <w:szCs w:val="24"/>
        </w:rPr>
        <w:t xml:space="preserve">ation. The reliability of </w:t>
      </w:r>
      <w:r w:rsidR="002F247A">
        <w:rPr>
          <w:rFonts w:ascii="Times New Roman" w:hAnsi="Times New Roman" w:cs="Times New Roman"/>
          <w:sz w:val="24"/>
          <w:szCs w:val="24"/>
        </w:rPr>
        <w:lastRenderedPageBreak/>
        <w:t>the V</w:t>
      </w:r>
      <w:r w:rsidRPr="004670A7">
        <w:rPr>
          <w:rFonts w:ascii="Times New Roman" w:hAnsi="Times New Roman" w:cs="Times New Roman"/>
          <w:sz w:val="24"/>
          <w:szCs w:val="24"/>
        </w:rPr>
        <w:t xml:space="preserve">AT was determined using Pearson Product Moment Correlation Coefficient and was found to be .86. The pre-test was administered to the students in all the groups before the commencement of the experiment without any feedback on the test being given to the students. After scoring; Students’ scores were recorded and kept aside by the researchers for use after the experiment. After teaching, the post-test </w:t>
      </w:r>
      <w:r w:rsidR="0030617A" w:rsidRPr="004670A7">
        <w:rPr>
          <w:rFonts w:ascii="Times New Roman" w:hAnsi="Times New Roman" w:cs="Times New Roman"/>
          <w:sz w:val="24"/>
          <w:szCs w:val="24"/>
        </w:rPr>
        <w:t>was</w:t>
      </w:r>
      <w:r w:rsidRPr="004670A7">
        <w:rPr>
          <w:rFonts w:ascii="Times New Roman" w:hAnsi="Times New Roman" w:cs="Times New Roman"/>
          <w:sz w:val="24"/>
          <w:szCs w:val="24"/>
        </w:rPr>
        <w:t xml:space="preserve"> administered to all the groups. Data from the posttest were recorded separately. Data collected using the instruments were analyzed with respect to the research questions posed and the hypotheses formulated for the study. Means and Standard Deviations of achievement scores of students were used in answering the Research Questions, while the Analysis of covariance (ANCOVA) was used to test the hypotheses formulated for the study at 0.05 level of significance.</w:t>
      </w:r>
    </w:p>
    <w:p w:rsidR="00026383" w:rsidRPr="004670A7" w:rsidRDefault="00026383" w:rsidP="00947F23">
      <w:pPr>
        <w:pStyle w:val="Default"/>
        <w:spacing w:line="360" w:lineRule="auto"/>
      </w:pPr>
      <w:r w:rsidRPr="004670A7">
        <w:rPr>
          <w:b/>
          <w:bCs/>
        </w:rPr>
        <w:t xml:space="preserve">RESULTS </w:t>
      </w:r>
    </w:p>
    <w:p w:rsidR="00026383" w:rsidRPr="004670A7" w:rsidRDefault="00026383" w:rsidP="00947F23">
      <w:pPr>
        <w:pStyle w:val="Default"/>
        <w:spacing w:line="360" w:lineRule="auto"/>
      </w:pPr>
      <w:r w:rsidRPr="004670A7">
        <w:rPr>
          <w:b/>
          <w:bCs/>
        </w:rPr>
        <w:t xml:space="preserve">Research Question One </w:t>
      </w:r>
    </w:p>
    <w:p w:rsidR="00026383" w:rsidRPr="004670A7" w:rsidRDefault="00026383" w:rsidP="00947F23">
      <w:pPr>
        <w:spacing w:line="360" w:lineRule="auto"/>
        <w:rPr>
          <w:rFonts w:ascii="Times New Roman" w:hAnsi="Times New Roman" w:cs="Times New Roman"/>
          <w:sz w:val="24"/>
          <w:szCs w:val="24"/>
        </w:rPr>
      </w:pPr>
      <w:r w:rsidRPr="004670A7">
        <w:rPr>
          <w:rFonts w:ascii="Times New Roman" w:hAnsi="Times New Roman" w:cs="Times New Roman"/>
          <w:sz w:val="24"/>
          <w:szCs w:val="24"/>
        </w:rPr>
        <w:t xml:space="preserve">What are the mean achievement scores of students taught </w:t>
      </w:r>
      <w:r w:rsidR="002F247A" w:rsidRPr="000E4CA4">
        <w:rPr>
          <w:rFonts w:ascii="Times New Roman" w:hAnsi="Times New Roman" w:cs="Times New Roman"/>
          <w:sz w:val="24"/>
          <w:szCs w:val="24"/>
        </w:rPr>
        <w:t>vocational subjects</w:t>
      </w:r>
      <w:r w:rsidR="002F247A" w:rsidRPr="004670A7">
        <w:rPr>
          <w:rFonts w:ascii="Times New Roman" w:hAnsi="Times New Roman" w:cs="Times New Roman"/>
          <w:sz w:val="24"/>
          <w:szCs w:val="24"/>
        </w:rPr>
        <w:t xml:space="preserve"> </w:t>
      </w:r>
      <w:r w:rsidRPr="004670A7">
        <w:rPr>
          <w:rFonts w:ascii="Times New Roman" w:hAnsi="Times New Roman" w:cs="Times New Roman"/>
          <w:sz w:val="24"/>
          <w:szCs w:val="24"/>
        </w:rPr>
        <w:t>using think-pair-share and those taught using conventional teaching method?</w:t>
      </w:r>
    </w:p>
    <w:p w:rsidR="00026383" w:rsidRPr="004670A7" w:rsidRDefault="00026383" w:rsidP="00026383">
      <w:pPr>
        <w:rPr>
          <w:rFonts w:ascii="Times New Roman" w:hAnsi="Times New Roman" w:cs="Times New Roman"/>
          <w:b/>
          <w:sz w:val="24"/>
          <w:szCs w:val="24"/>
        </w:rPr>
      </w:pPr>
      <w:r w:rsidRPr="004670A7">
        <w:rPr>
          <w:rFonts w:ascii="Times New Roman" w:hAnsi="Times New Roman" w:cs="Times New Roman"/>
          <w:b/>
          <w:sz w:val="24"/>
          <w:szCs w:val="24"/>
        </w:rPr>
        <w:t>Table 1: Mean Achievement and Standard Deviation Scores of Students in Think-pair-share and Control groups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E247D1" w:rsidRPr="004670A7" w:rsidTr="005D7731">
        <w:tc>
          <w:tcPr>
            <w:tcW w:w="2337" w:type="dxa"/>
            <w:vMerge w:val="restart"/>
          </w:tcPr>
          <w:p w:rsidR="00E247D1" w:rsidRDefault="00E247D1" w:rsidP="00026383">
            <w:pPr>
              <w:rPr>
                <w:rFonts w:ascii="Times New Roman" w:hAnsi="Times New Roman" w:cs="Times New Roman"/>
                <w:b/>
                <w:sz w:val="24"/>
                <w:szCs w:val="24"/>
              </w:rPr>
            </w:pPr>
          </w:p>
          <w:p w:rsidR="00E247D1" w:rsidRPr="004670A7" w:rsidRDefault="00E247D1" w:rsidP="00026383">
            <w:pPr>
              <w:rPr>
                <w:rFonts w:ascii="Times New Roman" w:hAnsi="Times New Roman" w:cs="Times New Roman"/>
                <w:sz w:val="24"/>
                <w:szCs w:val="24"/>
              </w:rPr>
            </w:pPr>
            <w:r w:rsidRPr="004B2CCC">
              <w:rPr>
                <w:rFonts w:ascii="Times New Roman" w:hAnsi="Times New Roman" w:cs="Times New Roman"/>
                <w:b/>
                <w:sz w:val="24"/>
                <w:szCs w:val="24"/>
              </w:rPr>
              <w:t>Think-Pair-Share</w:t>
            </w:r>
          </w:p>
        </w:tc>
        <w:tc>
          <w:tcPr>
            <w:tcW w:w="2337" w:type="dxa"/>
          </w:tcPr>
          <w:p w:rsidR="00E247D1" w:rsidRPr="004670A7" w:rsidRDefault="00E247D1" w:rsidP="00026383">
            <w:pPr>
              <w:rPr>
                <w:rFonts w:ascii="Times New Roman" w:hAnsi="Times New Roman" w:cs="Times New Roman"/>
                <w:sz w:val="24"/>
                <w:szCs w:val="24"/>
              </w:rPr>
            </w:pPr>
          </w:p>
        </w:tc>
        <w:tc>
          <w:tcPr>
            <w:tcW w:w="2338" w:type="dxa"/>
            <w:tcBorders>
              <w:top w:val="single" w:sz="4" w:space="0" w:color="auto"/>
              <w:bottom w:val="single" w:sz="4" w:space="0" w:color="auto"/>
            </w:tcBorders>
          </w:tcPr>
          <w:p w:rsidR="00E247D1" w:rsidRPr="004B2CCC" w:rsidRDefault="00E247D1" w:rsidP="004B2CCC">
            <w:pPr>
              <w:jc w:val="center"/>
              <w:rPr>
                <w:rFonts w:ascii="Times New Roman" w:hAnsi="Times New Roman" w:cs="Times New Roman"/>
                <w:b/>
                <w:sz w:val="24"/>
                <w:szCs w:val="24"/>
              </w:rPr>
            </w:pPr>
            <w:r w:rsidRPr="004B2CCC">
              <w:rPr>
                <w:rFonts w:ascii="Times New Roman" w:hAnsi="Times New Roman" w:cs="Times New Roman"/>
                <w:b/>
                <w:sz w:val="24"/>
                <w:szCs w:val="24"/>
              </w:rPr>
              <w:t>Pretest</w:t>
            </w:r>
          </w:p>
        </w:tc>
        <w:tc>
          <w:tcPr>
            <w:tcW w:w="2338" w:type="dxa"/>
            <w:tcBorders>
              <w:top w:val="single" w:sz="4" w:space="0" w:color="auto"/>
              <w:bottom w:val="single" w:sz="4" w:space="0" w:color="auto"/>
            </w:tcBorders>
          </w:tcPr>
          <w:p w:rsidR="00E247D1" w:rsidRPr="004B2CCC" w:rsidRDefault="00E247D1" w:rsidP="004B2CCC">
            <w:pPr>
              <w:jc w:val="center"/>
              <w:rPr>
                <w:rFonts w:ascii="Times New Roman" w:hAnsi="Times New Roman" w:cs="Times New Roman"/>
                <w:b/>
                <w:sz w:val="24"/>
                <w:szCs w:val="24"/>
              </w:rPr>
            </w:pPr>
            <w:proofErr w:type="spellStart"/>
            <w:r w:rsidRPr="004B2CCC">
              <w:rPr>
                <w:rFonts w:ascii="Times New Roman" w:hAnsi="Times New Roman" w:cs="Times New Roman"/>
                <w:b/>
                <w:sz w:val="24"/>
                <w:szCs w:val="24"/>
              </w:rPr>
              <w:t>PostTest</w:t>
            </w:r>
            <w:proofErr w:type="spellEnd"/>
          </w:p>
        </w:tc>
      </w:tr>
      <w:tr w:rsidR="00E247D1" w:rsidRPr="004670A7" w:rsidTr="005D7731">
        <w:trPr>
          <w:trHeight w:val="197"/>
        </w:trPr>
        <w:tc>
          <w:tcPr>
            <w:tcW w:w="2337" w:type="dxa"/>
            <w:vMerge/>
          </w:tcPr>
          <w:p w:rsidR="00E247D1" w:rsidRPr="004B2CCC" w:rsidRDefault="00E247D1" w:rsidP="00026383">
            <w:pPr>
              <w:rPr>
                <w:rFonts w:ascii="Times New Roman" w:hAnsi="Times New Roman" w:cs="Times New Roman"/>
                <w:b/>
                <w:sz w:val="24"/>
                <w:szCs w:val="24"/>
              </w:rPr>
            </w:pPr>
          </w:p>
        </w:tc>
        <w:tc>
          <w:tcPr>
            <w:tcW w:w="2337" w:type="dxa"/>
          </w:tcPr>
          <w:p w:rsidR="00E247D1" w:rsidRPr="004B2CCC" w:rsidRDefault="00E247D1" w:rsidP="00026383">
            <w:pPr>
              <w:rPr>
                <w:rFonts w:ascii="Times New Roman" w:hAnsi="Times New Roman" w:cs="Times New Roman"/>
                <w:b/>
                <w:sz w:val="24"/>
                <w:szCs w:val="24"/>
              </w:rPr>
            </w:pPr>
            <w:r w:rsidRPr="004B2CCC">
              <w:rPr>
                <w:rFonts w:ascii="Times New Roman" w:hAnsi="Times New Roman" w:cs="Times New Roman"/>
                <w:b/>
                <w:sz w:val="24"/>
                <w:szCs w:val="24"/>
              </w:rPr>
              <w:t>N</w:t>
            </w:r>
          </w:p>
        </w:tc>
        <w:tc>
          <w:tcPr>
            <w:tcW w:w="2338" w:type="dxa"/>
            <w:tcBorders>
              <w:top w:val="single" w:sz="4" w:space="0" w:color="auto"/>
            </w:tcBorders>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137</w:t>
            </w:r>
          </w:p>
        </w:tc>
        <w:tc>
          <w:tcPr>
            <w:tcW w:w="2338" w:type="dxa"/>
            <w:tcBorders>
              <w:top w:val="single" w:sz="4" w:space="0" w:color="auto"/>
            </w:tcBorders>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137</w:t>
            </w:r>
          </w:p>
        </w:tc>
      </w:tr>
      <w:tr w:rsidR="00E247D1" w:rsidRPr="004670A7" w:rsidTr="00E247D1">
        <w:tc>
          <w:tcPr>
            <w:tcW w:w="2337" w:type="dxa"/>
            <w:vMerge/>
          </w:tcPr>
          <w:p w:rsidR="00E247D1" w:rsidRPr="004B2CCC" w:rsidRDefault="00E247D1" w:rsidP="00026383">
            <w:pPr>
              <w:rPr>
                <w:rFonts w:ascii="Times New Roman" w:hAnsi="Times New Roman" w:cs="Times New Roman"/>
                <w:b/>
                <w:sz w:val="24"/>
                <w:szCs w:val="24"/>
              </w:rPr>
            </w:pPr>
          </w:p>
        </w:tc>
        <w:tc>
          <w:tcPr>
            <w:tcW w:w="2337" w:type="dxa"/>
          </w:tcPr>
          <w:p w:rsidR="00E247D1" w:rsidRPr="004670A7" w:rsidRDefault="00E247D1" w:rsidP="00026383">
            <w:pPr>
              <w:rPr>
                <w:rFonts w:ascii="Times New Roman" w:hAnsi="Times New Roman" w:cs="Times New Roman"/>
                <w:sz w:val="24"/>
                <w:szCs w:val="24"/>
              </w:rPr>
            </w:pPr>
            <w:r w:rsidRPr="004670A7">
              <w:rPr>
                <w:rFonts w:ascii="Times New Roman" w:hAnsi="Times New Roman" w:cs="Times New Roman"/>
                <w:sz w:val="24"/>
                <w:szCs w:val="24"/>
              </w:rPr>
              <w:t>Mean</w:t>
            </w:r>
          </w:p>
        </w:tc>
        <w:tc>
          <w:tcPr>
            <w:tcW w:w="2338" w:type="dxa"/>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10.0857</w:t>
            </w:r>
          </w:p>
        </w:tc>
        <w:tc>
          <w:tcPr>
            <w:tcW w:w="2338" w:type="dxa"/>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31.8095</w:t>
            </w:r>
          </w:p>
        </w:tc>
      </w:tr>
      <w:tr w:rsidR="00E247D1" w:rsidRPr="004670A7" w:rsidTr="00E247D1">
        <w:tc>
          <w:tcPr>
            <w:tcW w:w="2337" w:type="dxa"/>
            <w:vMerge/>
            <w:tcBorders>
              <w:bottom w:val="single" w:sz="4" w:space="0" w:color="auto"/>
            </w:tcBorders>
          </w:tcPr>
          <w:p w:rsidR="00E247D1" w:rsidRPr="004B2CCC" w:rsidRDefault="00E247D1" w:rsidP="00026383">
            <w:pPr>
              <w:rPr>
                <w:rFonts w:ascii="Times New Roman" w:hAnsi="Times New Roman" w:cs="Times New Roman"/>
                <w:b/>
                <w:sz w:val="24"/>
                <w:szCs w:val="24"/>
              </w:rPr>
            </w:pPr>
          </w:p>
        </w:tc>
        <w:tc>
          <w:tcPr>
            <w:tcW w:w="2337" w:type="dxa"/>
            <w:tcBorders>
              <w:bottom w:val="single" w:sz="4" w:space="0" w:color="auto"/>
            </w:tcBorders>
          </w:tcPr>
          <w:p w:rsidR="00E247D1" w:rsidRPr="004670A7" w:rsidRDefault="00E247D1" w:rsidP="00026383">
            <w:pPr>
              <w:rPr>
                <w:rFonts w:ascii="Times New Roman" w:hAnsi="Times New Roman" w:cs="Times New Roman"/>
                <w:sz w:val="24"/>
                <w:szCs w:val="24"/>
              </w:rPr>
            </w:pPr>
            <w:r w:rsidRPr="004670A7">
              <w:rPr>
                <w:rFonts w:ascii="Times New Roman" w:hAnsi="Times New Roman" w:cs="Times New Roman"/>
                <w:sz w:val="24"/>
                <w:szCs w:val="24"/>
              </w:rPr>
              <w:t>Std. Deviation</w:t>
            </w:r>
          </w:p>
        </w:tc>
        <w:tc>
          <w:tcPr>
            <w:tcW w:w="2338" w:type="dxa"/>
            <w:tcBorders>
              <w:bottom w:val="single" w:sz="4" w:space="0" w:color="auto"/>
            </w:tcBorders>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1.93209</w:t>
            </w:r>
          </w:p>
        </w:tc>
        <w:tc>
          <w:tcPr>
            <w:tcW w:w="2338" w:type="dxa"/>
            <w:tcBorders>
              <w:bottom w:val="single" w:sz="4" w:space="0" w:color="auto"/>
            </w:tcBorders>
          </w:tcPr>
          <w:p w:rsidR="00E247D1" w:rsidRPr="004670A7" w:rsidRDefault="00E247D1" w:rsidP="004B2CCC">
            <w:pPr>
              <w:jc w:val="center"/>
              <w:rPr>
                <w:rFonts w:ascii="Times New Roman" w:hAnsi="Times New Roman" w:cs="Times New Roman"/>
                <w:sz w:val="24"/>
                <w:szCs w:val="24"/>
              </w:rPr>
            </w:pPr>
            <w:r w:rsidRPr="004670A7">
              <w:rPr>
                <w:rFonts w:ascii="Times New Roman" w:hAnsi="Times New Roman" w:cs="Times New Roman"/>
                <w:sz w:val="24"/>
                <w:szCs w:val="24"/>
              </w:rPr>
              <w:t>6.81217</w:t>
            </w:r>
          </w:p>
        </w:tc>
      </w:tr>
      <w:tr w:rsidR="00026383" w:rsidRPr="004670A7" w:rsidTr="00E247D1">
        <w:tc>
          <w:tcPr>
            <w:tcW w:w="2337" w:type="dxa"/>
            <w:vMerge w:val="restart"/>
            <w:tcBorders>
              <w:top w:val="single" w:sz="4" w:space="0" w:color="auto"/>
              <w:bottom w:val="nil"/>
            </w:tcBorders>
          </w:tcPr>
          <w:p w:rsidR="00E247D1" w:rsidRDefault="00E247D1" w:rsidP="00026383">
            <w:pPr>
              <w:rPr>
                <w:rFonts w:ascii="Times New Roman" w:hAnsi="Times New Roman" w:cs="Times New Roman"/>
                <w:b/>
                <w:sz w:val="24"/>
                <w:szCs w:val="24"/>
              </w:rPr>
            </w:pPr>
          </w:p>
          <w:p w:rsidR="00026383" w:rsidRPr="004B2CCC" w:rsidRDefault="00026383" w:rsidP="00026383">
            <w:pPr>
              <w:rPr>
                <w:rFonts w:ascii="Times New Roman" w:hAnsi="Times New Roman" w:cs="Times New Roman"/>
                <w:b/>
                <w:sz w:val="24"/>
                <w:szCs w:val="24"/>
              </w:rPr>
            </w:pPr>
            <w:r w:rsidRPr="004B2CCC">
              <w:rPr>
                <w:rFonts w:ascii="Times New Roman" w:hAnsi="Times New Roman" w:cs="Times New Roman"/>
                <w:b/>
                <w:sz w:val="24"/>
                <w:szCs w:val="24"/>
              </w:rPr>
              <w:t>Control</w:t>
            </w:r>
          </w:p>
        </w:tc>
        <w:tc>
          <w:tcPr>
            <w:tcW w:w="2337" w:type="dxa"/>
            <w:tcBorders>
              <w:top w:val="single" w:sz="4" w:space="0" w:color="auto"/>
              <w:bottom w:val="nil"/>
            </w:tcBorders>
          </w:tcPr>
          <w:p w:rsidR="00026383" w:rsidRPr="004B2CCC" w:rsidRDefault="00026383" w:rsidP="00026383">
            <w:pPr>
              <w:rPr>
                <w:rFonts w:ascii="Times New Roman" w:hAnsi="Times New Roman" w:cs="Times New Roman"/>
                <w:b/>
                <w:sz w:val="24"/>
                <w:szCs w:val="24"/>
              </w:rPr>
            </w:pPr>
            <w:r w:rsidRPr="004B2CCC">
              <w:rPr>
                <w:rFonts w:ascii="Times New Roman" w:hAnsi="Times New Roman" w:cs="Times New Roman"/>
                <w:b/>
                <w:sz w:val="24"/>
                <w:szCs w:val="24"/>
              </w:rPr>
              <w:t>N</w:t>
            </w:r>
          </w:p>
        </w:tc>
        <w:tc>
          <w:tcPr>
            <w:tcW w:w="2338" w:type="dxa"/>
            <w:tcBorders>
              <w:top w:val="single" w:sz="4" w:space="0" w:color="auto"/>
              <w:bottom w:val="nil"/>
            </w:tcBorders>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122</w:t>
            </w:r>
          </w:p>
        </w:tc>
        <w:tc>
          <w:tcPr>
            <w:tcW w:w="2338" w:type="dxa"/>
            <w:tcBorders>
              <w:top w:val="single" w:sz="4" w:space="0" w:color="auto"/>
              <w:bottom w:val="nil"/>
            </w:tcBorders>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122</w:t>
            </w:r>
          </w:p>
        </w:tc>
      </w:tr>
      <w:tr w:rsidR="00026383" w:rsidRPr="004670A7" w:rsidTr="00E247D1">
        <w:tc>
          <w:tcPr>
            <w:tcW w:w="2337" w:type="dxa"/>
            <w:vMerge/>
            <w:tcBorders>
              <w:top w:val="nil"/>
            </w:tcBorders>
          </w:tcPr>
          <w:p w:rsidR="00026383" w:rsidRPr="004670A7" w:rsidRDefault="00026383" w:rsidP="00026383">
            <w:pPr>
              <w:rPr>
                <w:rFonts w:ascii="Times New Roman" w:hAnsi="Times New Roman" w:cs="Times New Roman"/>
                <w:sz w:val="24"/>
                <w:szCs w:val="24"/>
              </w:rPr>
            </w:pPr>
          </w:p>
        </w:tc>
        <w:tc>
          <w:tcPr>
            <w:tcW w:w="2337" w:type="dxa"/>
            <w:tcBorders>
              <w:top w:val="nil"/>
            </w:tcBorders>
          </w:tcPr>
          <w:p w:rsidR="00026383" w:rsidRPr="004670A7" w:rsidRDefault="00026383" w:rsidP="00026383">
            <w:pPr>
              <w:rPr>
                <w:rFonts w:ascii="Times New Roman" w:hAnsi="Times New Roman" w:cs="Times New Roman"/>
                <w:sz w:val="24"/>
                <w:szCs w:val="24"/>
              </w:rPr>
            </w:pPr>
            <w:r w:rsidRPr="004670A7">
              <w:rPr>
                <w:rFonts w:ascii="Times New Roman" w:hAnsi="Times New Roman" w:cs="Times New Roman"/>
                <w:sz w:val="24"/>
                <w:szCs w:val="24"/>
              </w:rPr>
              <w:t>Mean</w:t>
            </w:r>
          </w:p>
        </w:tc>
        <w:tc>
          <w:tcPr>
            <w:tcW w:w="2338" w:type="dxa"/>
            <w:tcBorders>
              <w:top w:val="nil"/>
            </w:tcBorders>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9.5471</w:t>
            </w:r>
          </w:p>
        </w:tc>
        <w:tc>
          <w:tcPr>
            <w:tcW w:w="2338" w:type="dxa"/>
            <w:tcBorders>
              <w:top w:val="nil"/>
            </w:tcBorders>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18.9510</w:t>
            </w:r>
          </w:p>
        </w:tc>
      </w:tr>
      <w:tr w:rsidR="00026383" w:rsidRPr="004670A7" w:rsidTr="00E247D1">
        <w:tc>
          <w:tcPr>
            <w:tcW w:w="2337" w:type="dxa"/>
            <w:vMerge/>
          </w:tcPr>
          <w:p w:rsidR="00026383" w:rsidRPr="004670A7" w:rsidRDefault="00026383" w:rsidP="00026383">
            <w:pPr>
              <w:rPr>
                <w:rFonts w:ascii="Times New Roman" w:hAnsi="Times New Roman" w:cs="Times New Roman"/>
                <w:sz w:val="24"/>
                <w:szCs w:val="24"/>
              </w:rPr>
            </w:pPr>
          </w:p>
        </w:tc>
        <w:tc>
          <w:tcPr>
            <w:tcW w:w="2337" w:type="dxa"/>
          </w:tcPr>
          <w:p w:rsidR="00026383" w:rsidRPr="004670A7" w:rsidRDefault="00026383" w:rsidP="00026383">
            <w:pPr>
              <w:rPr>
                <w:rFonts w:ascii="Times New Roman" w:hAnsi="Times New Roman" w:cs="Times New Roman"/>
                <w:sz w:val="24"/>
                <w:szCs w:val="24"/>
              </w:rPr>
            </w:pPr>
            <w:r w:rsidRPr="004670A7">
              <w:rPr>
                <w:rFonts w:ascii="Times New Roman" w:hAnsi="Times New Roman" w:cs="Times New Roman"/>
                <w:sz w:val="24"/>
                <w:szCs w:val="24"/>
              </w:rPr>
              <w:t>Std. Deviation</w:t>
            </w:r>
          </w:p>
        </w:tc>
        <w:tc>
          <w:tcPr>
            <w:tcW w:w="2338" w:type="dxa"/>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1.89003</w:t>
            </w:r>
          </w:p>
        </w:tc>
        <w:tc>
          <w:tcPr>
            <w:tcW w:w="2338" w:type="dxa"/>
          </w:tcPr>
          <w:p w:rsidR="00026383" w:rsidRPr="004670A7" w:rsidRDefault="00026383" w:rsidP="004B2CCC">
            <w:pPr>
              <w:jc w:val="center"/>
              <w:rPr>
                <w:rFonts w:ascii="Times New Roman" w:hAnsi="Times New Roman" w:cs="Times New Roman"/>
                <w:sz w:val="24"/>
                <w:szCs w:val="24"/>
              </w:rPr>
            </w:pPr>
            <w:r w:rsidRPr="004670A7">
              <w:rPr>
                <w:rFonts w:ascii="Times New Roman" w:hAnsi="Times New Roman" w:cs="Times New Roman"/>
                <w:sz w:val="24"/>
                <w:szCs w:val="24"/>
              </w:rPr>
              <w:t>7.31522</w:t>
            </w:r>
          </w:p>
        </w:tc>
      </w:tr>
    </w:tbl>
    <w:p w:rsidR="00026383" w:rsidRPr="004670A7" w:rsidRDefault="00026383" w:rsidP="00026383">
      <w:pPr>
        <w:rPr>
          <w:rFonts w:ascii="Times New Roman" w:hAnsi="Times New Roman" w:cs="Times New Roman"/>
          <w:sz w:val="24"/>
          <w:szCs w:val="24"/>
        </w:rPr>
      </w:pPr>
    </w:p>
    <w:p w:rsidR="00CD3403" w:rsidRPr="004670A7" w:rsidRDefault="00CD3403" w:rsidP="00947F23">
      <w:pPr>
        <w:pStyle w:val="Default"/>
        <w:spacing w:line="360" w:lineRule="auto"/>
        <w:jc w:val="both"/>
      </w:pPr>
      <w:r w:rsidRPr="004670A7">
        <w:t xml:space="preserve">Table 1 shows the pretest mean scores for both the Think-Pair-Share (10.09) and Control (9.55) groups were relatively low and similar, indicating comparable initial academic achievement. After the intervention, the Think-Pair-Share group showed a significant increase in mean score to 31.81, while the Control group's mean rose moderately to 18.95. This suggests that the Think-Pair-Share strategy had a more substantial positive effect on students’ academic achievement. The standard deviation for the Think-Pair-Share group increased from 1.93 to 6.81, indicating greater variability in posttest scores. Similarly, the Control group’s standard deviation increased from 1.89 to 7.32, also suggesting more spread in posttest performance. The larger gain in mean scores for the Think-Pair-Share group (21.72) compared to the Control group (9.40) reflects the strategy’s effectiveness. </w:t>
      </w:r>
      <w:r w:rsidRPr="004670A7">
        <w:lastRenderedPageBreak/>
        <w:t xml:space="preserve">Both groups improved, but the Think-Pair-Share group’s improvement was more than double that of the Control. The result supports the effectiveness of Think-Pair-Share in enhancing students' academic achievement in </w:t>
      </w:r>
      <w:r w:rsidR="0030617A">
        <w:t>vocational subjects</w:t>
      </w:r>
      <w:r w:rsidRPr="004670A7">
        <w:t xml:space="preserve">. </w:t>
      </w:r>
    </w:p>
    <w:p w:rsidR="00CD3403" w:rsidRPr="004670A7" w:rsidRDefault="00CD3403" w:rsidP="00CA776B">
      <w:pPr>
        <w:pStyle w:val="Default"/>
        <w:spacing w:before="240"/>
      </w:pPr>
      <w:r w:rsidRPr="004670A7">
        <w:rPr>
          <w:b/>
          <w:bCs/>
        </w:rPr>
        <w:t xml:space="preserve">Research Question Two </w:t>
      </w:r>
    </w:p>
    <w:p w:rsidR="00CD3403" w:rsidRPr="004670A7" w:rsidRDefault="00CD3403" w:rsidP="00CA776B">
      <w:pPr>
        <w:pStyle w:val="Default"/>
        <w:spacing w:before="240" w:line="360" w:lineRule="auto"/>
      </w:pPr>
      <w:r w:rsidRPr="004670A7">
        <w:t xml:space="preserve">What are the mean interest scores of students taught </w:t>
      </w:r>
      <w:r w:rsidR="0030617A">
        <w:t>vocational subjects</w:t>
      </w:r>
      <w:r w:rsidR="0030617A" w:rsidRPr="004670A7">
        <w:t xml:space="preserve"> </w:t>
      </w:r>
      <w:r w:rsidRPr="004670A7">
        <w:t xml:space="preserve">using think-pair-share and those taught using conventional teaching method? </w:t>
      </w:r>
    </w:p>
    <w:p w:rsidR="00CD3403" w:rsidRPr="004670A7" w:rsidRDefault="00CD3403" w:rsidP="00CD3403">
      <w:pPr>
        <w:rPr>
          <w:rFonts w:ascii="Times New Roman" w:hAnsi="Times New Roman" w:cs="Times New Roman"/>
          <w:b/>
          <w:sz w:val="24"/>
          <w:szCs w:val="24"/>
        </w:rPr>
      </w:pPr>
      <w:r w:rsidRPr="004670A7">
        <w:rPr>
          <w:rFonts w:ascii="Times New Roman" w:hAnsi="Times New Roman" w:cs="Times New Roman"/>
          <w:b/>
          <w:sz w:val="24"/>
          <w:szCs w:val="24"/>
        </w:rPr>
        <w:t>Table 2: Mean Interest Scores and Standard Deviations of Students in the Think-pair-share and Control Groups.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FE2623" w:rsidRPr="00FE2623" w:rsidTr="00417C8B">
        <w:tc>
          <w:tcPr>
            <w:tcW w:w="2337" w:type="dxa"/>
            <w:vMerge w:val="restart"/>
            <w:tcBorders>
              <w:top w:val="single" w:sz="4" w:space="0" w:color="auto"/>
              <w:bottom w:val="single" w:sz="4" w:space="0" w:color="auto"/>
            </w:tcBorders>
          </w:tcPr>
          <w:p w:rsidR="00FE2623" w:rsidRPr="00FE2623" w:rsidRDefault="00FE2623" w:rsidP="005E6EFF">
            <w:pPr>
              <w:rPr>
                <w:rFonts w:ascii="Times New Roman" w:hAnsi="Times New Roman" w:cs="Times New Roman"/>
                <w:b/>
                <w:sz w:val="24"/>
                <w:szCs w:val="24"/>
              </w:rPr>
            </w:pPr>
          </w:p>
          <w:p w:rsidR="00FE2623" w:rsidRPr="00FE2623" w:rsidRDefault="00FE2623" w:rsidP="005E6EFF">
            <w:pPr>
              <w:rPr>
                <w:rFonts w:ascii="Times New Roman" w:hAnsi="Times New Roman" w:cs="Times New Roman"/>
                <w:b/>
                <w:sz w:val="24"/>
                <w:szCs w:val="24"/>
              </w:rPr>
            </w:pPr>
            <w:r w:rsidRPr="00FE2623">
              <w:rPr>
                <w:rFonts w:ascii="Times New Roman" w:hAnsi="Times New Roman" w:cs="Times New Roman"/>
                <w:b/>
                <w:sz w:val="24"/>
                <w:szCs w:val="24"/>
              </w:rPr>
              <w:t>Think-Pair-Share</w:t>
            </w:r>
          </w:p>
        </w:tc>
        <w:tc>
          <w:tcPr>
            <w:tcW w:w="2337" w:type="dxa"/>
            <w:tcBorders>
              <w:top w:val="single" w:sz="4" w:space="0" w:color="auto"/>
              <w:bottom w:val="nil"/>
            </w:tcBorders>
          </w:tcPr>
          <w:p w:rsidR="00FE2623" w:rsidRPr="00FE2623" w:rsidRDefault="00FE2623" w:rsidP="005E6EFF">
            <w:pPr>
              <w:rPr>
                <w:rFonts w:ascii="Times New Roman" w:hAnsi="Times New Roman" w:cs="Times New Roman"/>
                <w:b/>
                <w:sz w:val="24"/>
                <w:szCs w:val="24"/>
              </w:rPr>
            </w:pPr>
          </w:p>
        </w:tc>
        <w:tc>
          <w:tcPr>
            <w:tcW w:w="2338" w:type="dxa"/>
            <w:tcBorders>
              <w:top w:val="single" w:sz="4" w:space="0" w:color="auto"/>
              <w:bottom w:val="single" w:sz="4" w:space="0" w:color="auto"/>
            </w:tcBorders>
          </w:tcPr>
          <w:p w:rsidR="00FE2623" w:rsidRPr="00FE2623" w:rsidRDefault="00FE2623" w:rsidP="005E6EFF">
            <w:pPr>
              <w:rPr>
                <w:rFonts w:ascii="Times New Roman" w:hAnsi="Times New Roman" w:cs="Times New Roman"/>
                <w:b/>
                <w:sz w:val="24"/>
                <w:szCs w:val="24"/>
              </w:rPr>
            </w:pPr>
            <w:r w:rsidRPr="00FE2623">
              <w:rPr>
                <w:rFonts w:ascii="Times New Roman" w:hAnsi="Times New Roman" w:cs="Times New Roman"/>
                <w:b/>
                <w:sz w:val="24"/>
                <w:szCs w:val="24"/>
              </w:rPr>
              <w:t>Pretest</w:t>
            </w:r>
          </w:p>
        </w:tc>
        <w:tc>
          <w:tcPr>
            <w:tcW w:w="2338" w:type="dxa"/>
            <w:tcBorders>
              <w:top w:val="single" w:sz="4" w:space="0" w:color="auto"/>
              <w:bottom w:val="single" w:sz="4" w:space="0" w:color="auto"/>
            </w:tcBorders>
          </w:tcPr>
          <w:p w:rsidR="00FE2623" w:rsidRPr="00FE2623" w:rsidRDefault="00FE2623" w:rsidP="005E6EFF">
            <w:pPr>
              <w:rPr>
                <w:rFonts w:ascii="Times New Roman" w:hAnsi="Times New Roman" w:cs="Times New Roman"/>
                <w:b/>
                <w:sz w:val="24"/>
                <w:szCs w:val="24"/>
              </w:rPr>
            </w:pPr>
            <w:proofErr w:type="spellStart"/>
            <w:r w:rsidRPr="00FE2623">
              <w:rPr>
                <w:rFonts w:ascii="Times New Roman" w:hAnsi="Times New Roman" w:cs="Times New Roman"/>
                <w:b/>
                <w:sz w:val="24"/>
                <w:szCs w:val="24"/>
              </w:rPr>
              <w:t>PostTest</w:t>
            </w:r>
            <w:proofErr w:type="spellEnd"/>
          </w:p>
        </w:tc>
      </w:tr>
      <w:tr w:rsidR="00FE2623" w:rsidRPr="004670A7" w:rsidTr="00417C8B">
        <w:tc>
          <w:tcPr>
            <w:tcW w:w="2337" w:type="dxa"/>
            <w:vMerge/>
            <w:tcBorders>
              <w:top w:val="single" w:sz="4" w:space="0" w:color="auto"/>
            </w:tcBorders>
          </w:tcPr>
          <w:p w:rsidR="00FE2623" w:rsidRPr="004670A7" w:rsidRDefault="00FE2623" w:rsidP="005E6EFF">
            <w:pPr>
              <w:rPr>
                <w:rFonts w:ascii="Times New Roman" w:hAnsi="Times New Roman" w:cs="Times New Roman"/>
                <w:sz w:val="24"/>
                <w:szCs w:val="24"/>
              </w:rPr>
            </w:pPr>
          </w:p>
        </w:tc>
        <w:tc>
          <w:tcPr>
            <w:tcW w:w="2337" w:type="dxa"/>
            <w:tcBorders>
              <w:top w:val="nil"/>
              <w:bottom w:val="nil"/>
            </w:tcBorders>
          </w:tcPr>
          <w:p w:rsidR="00FE2623" w:rsidRPr="00FE2623" w:rsidRDefault="00FE2623" w:rsidP="005E6EFF">
            <w:pPr>
              <w:rPr>
                <w:rFonts w:ascii="Times New Roman" w:hAnsi="Times New Roman" w:cs="Times New Roman"/>
                <w:b/>
                <w:sz w:val="24"/>
                <w:szCs w:val="24"/>
              </w:rPr>
            </w:pPr>
            <w:r w:rsidRPr="00FE2623">
              <w:rPr>
                <w:rFonts w:ascii="Times New Roman" w:hAnsi="Times New Roman" w:cs="Times New Roman"/>
                <w:b/>
                <w:sz w:val="24"/>
                <w:szCs w:val="24"/>
              </w:rPr>
              <w:t>N</w:t>
            </w:r>
          </w:p>
        </w:tc>
        <w:tc>
          <w:tcPr>
            <w:tcW w:w="2338" w:type="dxa"/>
            <w:tcBorders>
              <w:top w:val="single" w:sz="4" w:space="0" w:color="auto"/>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137</w:t>
            </w:r>
          </w:p>
        </w:tc>
        <w:tc>
          <w:tcPr>
            <w:tcW w:w="2338" w:type="dxa"/>
            <w:tcBorders>
              <w:top w:val="single" w:sz="4" w:space="0" w:color="auto"/>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137</w:t>
            </w:r>
          </w:p>
        </w:tc>
      </w:tr>
      <w:tr w:rsidR="00FE2623" w:rsidRPr="004670A7" w:rsidTr="00417C8B">
        <w:tc>
          <w:tcPr>
            <w:tcW w:w="2337" w:type="dxa"/>
            <w:vMerge/>
          </w:tcPr>
          <w:p w:rsidR="00FE2623" w:rsidRPr="004670A7" w:rsidRDefault="00FE2623" w:rsidP="005E6EFF">
            <w:pPr>
              <w:rPr>
                <w:rFonts w:ascii="Times New Roman" w:hAnsi="Times New Roman" w:cs="Times New Roman"/>
                <w:sz w:val="24"/>
                <w:szCs w:val="24"/>
              </w:rPr>
            </w:pPr>
          </w:p>
        </w:tc>
        <w:tc>
          <w:tcPr>
            <w:tcW w:w="2337" w:type="dxa"/>
            <w:tcBorders>
              <w:top w:val="nil"/>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Mean</w:t>
            </w:r>
          </w:p>
        </w:tc>
        <w:tc>
          <w:tcPr>
            <w:tcW w:w="2338" w:type="dxa"/>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1.6037</w:t>
            </w:r>
          </w:p>
        </w:tc>
        <w:tc>
          <w:tcPr>
            <w:tcW w:w="2338" w:type="dxa"/>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3.5840</w:t>
            </w:r>
          </w:p>
        </w:tc>
      </w:tr>
      <w:tr w:rsidR="00FE2623" w:rsidRPr="004670A7" w:rsidTr="00FE2623">
        <w:tc>
          <w:tcPr>
            <w:tcW w:w="2337" w:type="dxa"/>
            <w:vMerge/>
            <w:tcBorders>
              <w:bottom w:val="single" w:sz="4" w:space="0" w:color="auto"/>
            </w:tcBorders>
          </w:tcPr>
          <w:p w:rsidR="00FE2623" w:rsidRPr="004670A7" w:rsidRDefault="00FE2623" w:rsidP="005E6EFF">
            <w:pPr>
              <w:rPr>
                <w:rFonts w:ascii="Times New Roman" w:hAnsi="Times New Roman" w:cs="Times New Roman"/>
                <w:sz w:val="24"/>
                <w:szCs w:val="24"/>
              </w:rPr>
            </w:pPr>
          </w:p>
        </w:tc>
        <w:tc>
          <w:tcPr>
            <w:tcW w:w="2337" w:type="dxa"/>
            <w:tcBorders>
              <w:bottom w:val="single" w:sz="4" w:space="0" w:color="auto"/>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Std. Deviation</w:t>
            </w:r>
          </w:p>
        </w:tc>
        <w:tc>
          <w:tcPr>
            <w:tcW w:w="2338" w:type="dxa"/>
            <w:tcBorders>
              <w:bottom w:val="single" w:sz="4" w:space="0" w:color="auto"/>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0.11304</w:t>
            </w:r>
          </w:p>
        </w:tc>
        <w:tc>
          <w:tcPr>
            <w:tcW w:w="2338" w:type="dxa"/>
            <w:tcBorders>
              <w:bottom w:val="single" w:sz="4" w:space="0" w:color="auto"/>
            </w:tcBorders>
          </w:tcPr>
          <w:p w:rsidR="00FE2623" w:rsidRPr="004670A7" w:rsidRDefault="00FE2623" w:rsidP="005E6EFF">
            <w:pPr>
              <w:rPr>
                <w:rFonts w:ascii="Times New Roman" w:hAnsi="Times New Roman" w:cs="Times New Roman"/>
                <w:sz w:val="24"/>
                <w:szCs w:val="24"/>
              </w:rPr>
            </w:pPr>
            <w:r w:rsidRPr="004670A7">
              <w:rPr>
                <w:rFonts w:ascii="Times New Roman" w:hAnsi="Times New Roman" w:cs="Times New Roman"/>
                <w:sz w:val="24"/>
                <w:szCs w:val="24"/>
              </w:rPr>
              <w:t>0.10116</w:t>
            </w:r>
          </w:p>
        </w:tc>
      </w:tr>
      <w:tr w:rsidR="00CD3403" w:rsidRPr="004670A7" w:rsidTr="00FE2623">
        <w:tc>
          <w:tcPr>
            <w:tcW w:w="2337" w:type="dxa"/>
            <w:vMerge w:val="restart"/>
            <w:tcBorders>
              <w:top w:val="single" w:sz="4" w:space="0" w:color="auto"/>
              <w:bottom w:val="nil"/>
            </w:tcBorders>
          </w:tcPr>
          <w:p w:rsidR="00FE2623" w:rsidRDefault="00FE2623" w:rsidP="005E6EFF">
            <w:pPr>
              <w:rPr>
                <w:rFonts w:ascii="Times New Roman" w:hAnsi="Times New Roman" w:cs="Times New Roman"/>
                <w:sz w:val="24"/>
                <w:szCs w:val="24"/>
              </w:rPr>
            </w:pPr>
          </w:p>
          <w:p w:rsidR="00CD3403" w:rsidRPr="00FE2623" w:rsidRDefault="00CD3403" w:rsidP="005E6EFF">
            <w:pPr>
              <w:rPr>
                <w:rFonts w:ascii="Times New Roman" w:hAnsi="Times New Roman" w:cs="Times New Roman"/>
                <w:b/>
                <w:sz w:val="24"/>
                <w:szCs w:val="24"/>
              </w:rPr>
            </w:pPr>
            <w:r w:rsidRPr="00FE2623">
              <w:rPr>
                <w:rFonts w:ascii="Times New Roman" w:hAnsi="Times New Roman" w:cs="Times New Roman"/>
                <w:b/>
                <w:sz w:val="24"/>
                <w:szCs w:val="24"/>
              </w:rPr>
              <w:t>Control</w:t>
            </w:r>
          </w:p>
        </w:tc>
        <w:tc>
          <w:tcPr>
            <w:tcW w:w="2337" w:type="dxa"/>
            <w:tcBorders>
              <w:top w:val="single" w:sz="4" w:space="0" w:color="auto"/>
              <w:bottom w:val="nil"/>
            </w:tcBorders>
          </w:tcPr>
          <w:p w:rsidR="00CD3403" w:rsidRPr="00FE2623" w:rsidRDefault="00CD3403" w:rsidP="005E6EFF">
            <w:pPr>
              <w:rPr>
                <w:rFonts w:ascii="Times New Roman" w:hAnsi="Times New Roman" w:cs="Times New Roman"/>
                <w:b/>
                <w:sz w:val="24"/>
                <w:szCs w:val="24"/>
              </w:rPr>
            </w:pPr>
            <w:r w:rsidRPr="00FE2623">
              <w:rPr>
                <w:rFonts w:ascii="Times New Roman" w:hAnsi="Times New Roman" w:cs="Times New Roman"/>
                <w:b/>
                <w:sz w:val="24"/>
                <w:szCs w:val="24"/>
              </w:rPr>
              <w:t>N</w:t>
            </w:r>
          </w:p>
        </w:tc>
        <w:tc>
          <w:tcPr>
            <w:tcW w:w="2338" w:type="dxa"/>
            <w:tcBorders>
              <w:top w:val="single" w:sz="4" w:space="0" w:color="auto"/>
              <w:bottom w:val="nil"/>
            </w:tcBorders>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122</w:t>
            </w:r>
          </w:p>
        </w:tc>
        <w:tc>
          <w:tcPr>
            <w:tcW w:w="2338" w:type="dxa"/>
            <w:tcBorders>
              <w:top w:val="single" w:sz="4" w:space="0" w:color="auto"/>
              <w:bottom w:val="nil"/>
            </w:tcBorders>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122</w:t>
            </w:r>
          </w:p>
        </w:tc>
      </w:tr>
      <w:tr w:rsidR="00CD3403" w:rsidRPr="004670A7" w:rsidTr="00FE2623">
        <w:tc>
          <w:tcPr>
            <w:tcW w:w="2337" w:type="dxa"/>
            <w:vMerge/>
            <w:tcBorders>
              <w:top w:val="nil"/>
            </w:tcBorders>
          </w:tcPr>
          <w:p w:rsidR="00CD3403" w:rsidRPr="004670A7" w:rsidRDefault="00CD3403" w:rsidP="005E6EFF">
            <w:pPr>
              <w:rPr>
                <w:rFonts w:ascii="Times New Roman" w:hAnsi="Times New Roman" w:cs="Times New Roman"/>
                <w:sz w:val="24"/>
                <w:szCs w:val="24"/>
              </w:rPr>
            </w:pPr>
          </w:p>
        </w:tc>
        <w:tc>
          <w:tcPr>
            <w:tcW w:w="2337" w:type="dxa"/>
            <w:tcBorders>
              <w:top w:val="nil"/>
            </w:tcBorders>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Mean</w:t>
            </w:r>
          </w:p>
        </w:tc>
        <w:tc>
          <w:tcPr>
            <w:tcW w:w="2338" w:type="dxa"/>
            <w:tcBorders>
              <w:top w:val="nil"/>
            </w:tcBorders>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1.5414</w:t>
            </w:r>
          </w:p>
        </w:tc>
        <w:tc>
          <w:tcPr>
            <w:tcW w:w="2338" w:type="dxa"/>
            <w:tcBorders>
              <w:top w:val="nil"/>
            </w:tcBorders>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2.9384</w:t>
            </w:r>
          </w:p>
        </w:tc>
      </w:tr>
      <w:tr w:rsidR="00CD3403" w:rsidRPr="004670A7" w:rsidTr="00FE2623">
        <w:tc>
          <w:tcPr>
            <w:tcW w:w="2337" w:type="dxa"/>
            <w:vMerge/>
          </w:tcPr>
          <w:p w:rsidR="00CD3403" w:rsidRPr="004670A7" w:rsidRDefault="00CD3403" w:rsidP="005E6EFF">
            <w:pPr>
              <w:rPr>
                <w:rFonts w:ascii="Times New Roman" w:hAnsi="Times New Roman" w:cs="Times New Roman"/>
                <w:sz w:val="24"/>
                <w:szCs w:val="24"/>
              </w:rPr>
            </w:pPr>
          </w:p>
        </w:tc>
        <w:tc>
          <w:tcPr>
            <w:tcW w:w="2337" w:type="dxa"/>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Std. Deviation</w:t>
            </w:r>
          </w:p>
        </w:tc>
        <w:tc>
          <w:tcPr>
            <w:tcW w:w="2338" w:type="dxa"/>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0.11831</w:t>
            </w:r>
          </w:p>
        </w:tc>
        <w:tc>
          <w:tcPr>
            <w:tcW w:w="2338" w:type="dxa"/>
          </w:tcPr>
          <w:p w:rsidR="00CD3403" w:rsidRPr="004670A7" w:rsidRDefault="00CD3403" w:rsidP="005E6EFF">
            <w:pPr>
              <w:rPr>
                <w:rFonts w:ascii="Times New Roman" w:hAnsi="Times New Roman" w:cs="Times New Roman"/>
                <w:sz w:val="24"/>
                <w:szCs w:val="24"/>
              </w:rPr>
            </w:pPr>
            <w:r w:rsidRPr="004670A7">
              <w:rPr>
                <w:rFonts w:ascii="Times New Roman" w:hAnsi="Times New Roman" w:cs="Times New Roman"/>
                <w:sz w:val="24"/>
                <w:szCs w:val="24"/>
              </w:rPr>
              <w:t>0.34181</w:t>
            </w:r>
          </w:p>
        </w:tc>
      </w:tr>
    </w:tbl>
    <w:p w:rsidR="00CD3403" w:rsidRPr="004670A7" w:rsidRDefault="00CD3403" w:rsidP="00CD3403">
      <w:pPr>
        <w:rPr>
          <w:rFonts w:ascii="Times New Roman" w:hAnsi="Times New Roman" w:cs="Times New Roman"/>
          <w:sz w:val="24"/>
          <w:szCs w:val="24"/>
        </w:rPr>
      </w:pPr>
    </w:p>
    <w:p w:rsidR="00CD3403" w:rsidRPr="004670A7" w:rsidRDefault="00CD3403" w:rsidP="00947F23">
      <w:p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Table 2 shows pre-test interest mean scores for the Think-Pair-Share (1.60) and Control (1.54) groups were close, showing similar initial levels of interest in </w:t>
      </w:r>
      <w:r w:rsidR="0030617A">
        <w:t>vocational subjects</w:t>
      </w:r>
      <w:r w:rsidRPr="004670A7">
        <w:rPr>
          <w:rFonts w:ascii="Times New Roman" w:hAnsi="Times New Roman" w:cs="Times New Roman"/>
          <w:sz w:val="24"/>
          <w:szCs w:val="24"/>
        </w:rPr>
        <w:t xml:space="preserve">. After the pre-test, the Think-Pair-Share indicates that the Think-Pair-Share strategy was more effective in boosting students’ interest. The standard deviation for the Think-Pair-Share group slightly decreased from 0.11 to 0.10, suggesting consistent interest levels among students. In contrast, the Control group’s standard deviation increased from 0.12 to 0.34, showing greater variation in post-intervention interest. The improvement in interest for the Think-Pair-Share group (1.98) surpassed that of the Control group (1.40). This result demonstrates that the Think-Pair-Share strategy not only increased interest but also maintained uniformity in students’ responses. The findings support the effectiveness of Think-Pair-Share in significantly enhancing students’ interest in </w:t>
      </w:r>
      <w:r w:rsidR="00B35B7E">
        <w:t>vocational subjects</w:t>
      </w:r>
      <w:r w:rsidRPr="004670A7">
        <w:rPr>
          <w:rFonts w:ascii="Times New Roman" w:hAnsi="Times New Roman" w:cs="Times New Roman"/>
          <w:sz w:val="24"/>
          <w:szCs w:val="24"/>
        </w:rPr>
        <w:t>.</w:t>
      </w:r>
    </w:p>
    <w:p w:rsidR="00CD3403" w:rsidRPr="004670A7" w:rsidRDefault="00CD3403" w:rsidP="00947F23">
      <w:pPr>
        <w:pStyle w:val="Default"/>
        <w:spacing w:line="360" w:lineRule="auto"/>
        <w:jc w:val="both"/>
      </w:pPr>
      <w:r w:rsidRPr="004670A7">
        <w:rPr>
          <w:b/>
          <w:bCs/>
        </w:rPr>
        <w:t xml:space="preserve">Hypothesis One </w:t>
      </w:r>
    </w:p>
    <w:p w:rsidR="00CD3403" w:rsidRDefault="00CD3403" w:rsidP="00947F23">
      <w:pPr>
        <w:pStyle w:val="Default"/>
        <w:spacing w:line="360" w:lineRule="auto"/>
        <w:jc w:val="both"/>
      </w:pPr>
      <w:r w:rsidRPr="004670A7">
        <w:t xml:space="preserve">There is no significant difference in the mean achievement scores of students taught </w:t>
      </w:r>
      <w:r w:rsidR="00B35B7E">
        <w:t>vocational subjects</w:t>
      </w:r>
      <w:r w:rsidR="00B35B7E" w:rsidRPr="004670A7">
        <w:t xml:space="preserve"> </w:t>
      </w:r>
      <w:r w:rsidRPr="004670A7">
        <w:t xml:space="preserve">using think-pair-share and those taught using the conventional approach. </w:t>
      </w:r>
    </w:p>
    <w:p w:rsidR="004670A7" w:rsidRPr="004670A7" w:rsidRDefault="004670A7" w:rsidP="00CD3403">
      <w:pPr>
        <w:pStyle w:val="Default"/>
      </w:pPr>
    </w:p>
    <w:p w:rsidR="006A2D7C" w:rsidRDefault="006A2D7C" w:rsidP="00CD3403">
      <w:pPr>
        <w:rPr>
          <w:rFonts w:ascii="Times New Roman" w:hAnsi="Times New Roman" w:cs="Times New Roman"/>
          <w:b/>
          <w:sz w:val="24"/>
          <w:szCs w:val="24"/>
        </w:rPr>
      </w:pPr>
    </w:p>
    <w:p w:rsidR="00CD3403" w:rsidRPr="004670A7" w:rsidRDefault="00CD3403" w:rsidP="00CD3403">
      <w:pPr>
        <w:rPr>
          <w:rFonts w:ascii="Times New Roman" w:hAnsi="Times New Roman" w:cs="Times New Roman"/>
          <w:b/>
          <w:sz w:val="24"/>
          <w:szCs w:val="24"/>
        </w:rPr>
      </w:pPr>
      <w:r w:rsidRPr="004670A7">
        <w:rPr>
          <w:rFonts w:ascii="Times New Roman" w:hAnsi="Times New Roman" w:cs="Times New Roman"/>
          <w:b/>
          <w:sz w:val="24"/>
          <w:szCs w:val="24"/>
        </w:rPr>
        <w:lastRenderedPageBreak/>
        <w:t xml:space="preserve">Table 3: Analysis of Covariance of Students’ Scores in the Think-pair-share and Control Groups’ Achievement Test in </w:t>
      </w:r>
      <w:r w:rsidR="00B35B7E" w:rsidRPr="00B35B7E">
        <w:rPr>
          <w:rFonts w:ascii="Times New Roman" w:hAnsi="Times New Roman" w:cs="Times New Roman"/>
          <w:b/>
          <w:sz w:val="24"/>
          <w:szCs w:val="24"/>
        </w:rPr>
        <w:t>vocational subjects</w:t>
      </w:r>
      <w:r w:rsidRPr="004670A7">
        <w:rPr>
          <w:rFonts w:ascii="Times New Roman" w:hAnsi="Times New Roman" w:cs="Times New Roman"/>
          <w:b/>
          <w:sz w:val="24"/>
          <w:szCs w:val="24"/>
        </w:rPr>
        <w:t xml:space="preserve"> Due to Method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CD3403" w:rsidRPr="004670A7" w:rsidTr="00FE2623">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Source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Type III Sum of Squares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Df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Mean Square </w:t>
            </w:r>
          </w:p>
        </w:tc>
        <w:tc>
          <w:tcPr>
            <w:tcW w:w="1559"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F </w:t>
            </w:r>
          </w:p>
        </w:tc>
        <w:tc>
          <w:tcPr>
            <w:tcW w:w="1559"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Sig. </w:t>
            </w:r>
          </w:p>
        </w:tc>
      </w:tr>
      <w:tr w:rsidR="00CD3403" w:rsidRPr="004670A7" w:rsidTr="00FE2623">
        <w:tc>
          <w:tcPr>
            <w:tcW w:w="1558" w:type="dxa"/>
            <w:tcBorders>
              <w:top w:val="single" w:sz="4" w:space="0" w:color="auto"/>
            </w:tcBorders>
          </w:tcPr>
          <w:p w:rsidR="00CD3403" w:rsidRPr="004670A7" w:rsidRDefault="00CD3403" w:rsidP="00CD3403">
            <w:pPr>
              <w:pStyle w:val="Default"/>
            </w:pPr>
            <w:r w:rsidRPr="004670A7">
              <w:t xml:space="preserve">Corrected Model </w:t>
            </w:r>
          </w:p>
        </w:tc>
        <w:tc>
          <w:tcPr>
            <w:tcW w:w="1558" w:type="dxa"/>
            <w:tcBorders>
              <w:top w:val="single" w:sz="4" w:space="0" w:color="auto"/>
            </w:tcBorders>
          </w:tcPr>
          <w:p w:rsidR="00CD3403" w:rsidRPr="004670A7" w:rsidRDefault="00CD3403" w:rsidP="00CD3403">
            <w:pPr>
              <w:pStyle w:val="Default"/>
            </w:pPr>
            <w:r w:rsidRPr="004670A7">
              <w:t xml:space="preserve">1802.154 </w:t>
            </w:r>
          </w:p>
        </w:tc>
        <w:tc>
          <w:tcPr>
            <w:tcW w:w="1558" w:type="dxa"/>
            <w:tcBorders>
              <w:top w:val="single" w:sz="4" w:space="0" w:color="auto"/>
            </w:tcBorders>
          </w:tcPr>
          <w:p w:rsidR="00CD3403" w:rsidRPr="004670A7" w:rsidRDefault="00CD3403" w:rsidP="00CD3403">
            <w:pPr>
              <w:pStyle w:val="Default"/>
            </w:pPr>
            <w:r w:rsidRPr="004670A7">
              <w:t xml:space="preserve">2 </w:t>
            </w:r>
          </w:p>
        </w:tc>
        <w:tc>
          <w:tcPr>
            <w:tcW w:w="1558" w:type="dxa"/>
            <w:tcBorders>
              <w:top w:val="single" w:sz="4" w:space="0" w:color="auto"/>
            </w:tcBorders>
          </w:tcPr>
          <w:p w:rsidR="00CD3403" w:rsidRPr="004670A7" w:rsidRDefault="00CD3403" w:rsidP="00CD3403">
            <w:pPr>
              <w:pStyle w:val="Default"/>
            </w:pPr>
            <w:r w:rsidRPr="004670A7">
              <w:t xml:space="preserve">901.077 </w:t>
            </w:r>
          </w:p>
        </w:tc>
        <w:tc>
          <w:tcPr>
            <w:tcW w:w="1559" w:type="dxa"/>
            <w:tcBorders>
              <w:top w:val="single" w:sz="4" w:space="0" w:color="auto"/>
            </w:tcBorders>
          </w:tcPr>
          <w:p w:rsidR="00CD3403" w:rsidRPr="004670A7" w:rsidRDefault="00CD3403" w:rsidP="00CD3403">
            <w:pPr>
              <w:pStyle w:val="Default"/>
            </w:pPr>
            <w:r w:rsidRPr="004670A7">
              <w:t xml:space="preserve">18.013 </w:t>
            </w:r>
          </w:p>
        </w:tc>
        <w:tc>
          <w:tcPr>
            <w:tcW w:w="1559" w:type="dxa"/>
            <w:tcBorders>
              <w:top w:val="single" w:sz="4" w:space="0" w:color="auto"/>
            </w:tcBorders>
          </w:tcPr>
          <w:p w:rsidR="00CD3403" w:rsidRPr="004670A7" w:rsidRDefault="00CD3403" w:rsidP="00CD3403">
            <w:pPr>
              <w:pStyle w:val="Default"/>
            </w:pPr>
            <w:r w:rsidRPr="004670A7">
              <w:t xml:space="preserve">.000 </w:t>
            </w:r>
          </w:p>
        </w:tc>
      </w:tr>
      <w:tr w:rsidR="00CD3403" w:rsidRPr="004670A7" w:rsidTr="00FE2623">
        <w:tc>
          <w:tcPr>
            <w:tcW w:w="1558" w:type="dxa"/>
          </w:tcPr>
          <w:p w:rsidR="00CD3403" w:rsidRPr="004670A7" w:rsidRDefault="00CD3403" w:rsidP="00CD3403">
            <w:pPr>
              <w:pStyle w:val="Default"/>
            </w:pPr>
            <w:r w:rsidRPr="004670A7">
              <w:t xml:space="preserve">Intercept </w:t>
            </w:r>
          </w:p>
        </w:tc>
        <w:tc>
          <w:tcPr>
            <w:tcW w:w="1558" w:type="dxa"/>
          </w:tcPr>
          <w:p w:rsidR="00CD3403" w:rsidRPr="004670A7" w:rsidRDefault="00CD3403" w:rsidP="00CD3403">
            <w:pPr>
              <w:pStyle w:val="Default"/>
            </w:pPr>
            <w:r w:rsidRPr="004670A7">
              <w:t xml:space="preserve">126545.459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126545.459 </w:t>
            </w:r>
          </w:p>
        </w:tc>
        <w:tc>
          <w:tcPr>
            <w:tcW w:w="1559" w:type="dxa"/>
          </w:tcPr>
          <w:p w:rsidR="00CD3403" w:rsidRPr="004670A7" w:rsidRDefault="00CD3403" w:rsidP="00CD3403">
            <w:pPr>
              <w:pStyle w:val="Default"/>
            </w:pPr>
            <w:r w:rsidRPr="004670A7">
              <w:t xml:space="preserve">2529.766 </w:t>
            </w:r>
          </w:p>
        </w:tc>
        <w:tc>
          <w:tcPr>
            <w:tcW w:w="1559" w:type="dxa"/>
          </w:tcPr>
          <w:p w:rsidR="00CD3403" w:rsidRPr="004670A7" w:rsidRDefault="00CD3403" w:rsidP="00CD3403">
            <w:pPr>
              <w:pStyle w:val="Default"/>
            </w:pPr>
            <w:r w:rsidRPr="004670A7">
              <w:t xml:space="preserve">.000 </w:t>
            </w:r>
          </w:p>
        </w:tc>
      </w:tr>
      <w:tr w:rsidR="00CD3403" w:rsidRPr="004670A7" w:rsidTr="00FE2623">
        <w:tc>
          <w:tcPr>
            <w:tcW w:w="1558" w:type="dxa"/>
          </w:tcPr>
          <w:p w:rsidR="00CD3403" w:rsidRPr="004670A7" w:rsidRDefault="00CD3403" w:rsidP="00CD3403">
            <w:pPr>
              <w:pStyle w:val="Default"/>
            </w:pPr>
            <w:r w:rsidRPr="004670A7">
              <w:t xml:space="preserve">Pretest </w:t>
            </w:r>
          </w:p>
        </w:tc>
        <w:tc>
          <w:tcPr>
            <w:tcW w:w="1558" w:type="dxa"/>
          </w:tcPr>
          <w:p w:rsidR="00CD3403" w:rsidRPr="004670A7" w:rsidRDefault="00CD3403" w:rsidP="00CD3403">
            <w:pPr>
              <w:pStyle w:val="Default"/>
            </w:pPr>
            <w:r w:rsidRPr="004670A7">
              <w:t xml:space="preserve">26.336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26.336 </w:t>
            </w:r>
          </w:p>
        </w:tc>
        <w:tc>
          <w:tcPr>
            <w:tcW w:w="1559" w:type="dxa"/>
          </w:tcPr>
          <w:p w:rsidR="00CD3403" w:rsidRPr="004670A7" w:rsidRDefault="00CD3403" w:rsidP="00CD3403">
            <w:pPr>
              <w:pStyle w:val="Default"/>
            </w:pPr>
            <w:r w:rsidRPr="004670A7">
              <w:t xml:space="preserve">.526 </w:t>
            </w:r>
          </w:p>
        </w:tc>
        <w:tc>
          <w:tcPr>
            <w:tcW w:w="1559" w:type="dxa"/>
          </w:tcPr>
          <w:p w:rsidR="00CD3403" w:rsidRPr="004670A7" w:rsidRDefault="00CD3403" w:rsidP="00CD3403">
            <w:pPr>
              <w:pStyle w:val="Default"/>
            </w:pPr>
            <w:r w:rsidRPr="004670A7">
              <w:t xml:space="preserve">.469 </w:t>
            </w:r>
          </w:p>
        </w:tc>
      </w:tr>
      <w:tr w:rsidR="00CD3403" w:rsidRPr="004670A7" w:rsidTr="00FE2623">
        <w:tc>
          <w:tcPr>
            <w:tcW w:w="1558" w:type="dxa"/>
          </w:tcPr>
          <w:p w:rsidR="00CD3403" w:rsidRPr="004670A7" w:rsidRDefault="00CD3403" w:rsidP="00CD3403">
            <w:pPr>
              <w:pStyle w:val="Default"/>
            </w:pPr>
            <w:r w:rsidRPr="004670A7">
              <w:t xml:space="preserve">Group </w:t>
            </w:r>
          </w:p>
        </w:tc>
        <w:tc>
          <w:tcPr>
            <w:tcW w:w="1558" w:type="dxa"/>
          </w:tcPr>
          <w:p w:rsidR="00CD3403" w:rsidRPr="004670A7" w:rsidRDefault="00CD3403" w:rsidP="00CD3403">
            <w:pPr>
              <w:pStyle w:val="Default"/>
            </w:pPr>
            <w:r w:rsidRPr="004670A7">
              <w:t xml:space="preserve">1782.335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1782.335 </w:t>
            </w:r>
          </w:p>
        </w:tc>
        <w:tc>
          <w:tcPr>
            <w:tcW w:w="1559" w:type="dxa"/>
          </w:tcPr>
          <w:p w:rsidR="00CD3403" w:rsidRPr="004670A7" w:rsidRDefault="00CD3403" w:rsidP="00CD3403">
            <w:pPr>
              <w:pStyle w:val="Default"/>
            </w:pPr>
            <w:r w:rsidRPr="004670A7">
              <w:t xml:space="preserve">35.631 </w:t>
            </w:r>
          </w:p>
        </w:tc>
        <w:tc>
          <w:tcPr>
            <w:tcW w:w="1559" w:type="dxa"/>
          </w:tcPr>
          <w:p w:rsidR="00CD3403" w:rsidRPr="004670A7" w:rsidRDefault="00CD3403" w:rsidP="00CD3403">
            <w:pPr>
              <w:pStyle w:val="Default"/>
            </w:pPr>
            <w:r w:rsidRPr="004670A7">
              <w:t xml:space="preserve">.000 </w:t>
            </w:r>
          </w:p>
        </w:tc>
      </w:tr>
      <w:tr w:rsidR="00CD3403" w:rsidRPr="004670A7" w:rsidTr="00FE2623">
        <w:tc>
          <w:tcPr>
            <w:tcW w:w="1558" w:type="dxa"/>
          </w:tcPr>
          <w:p w:rsidR="00CD3403" w:rsidRPr="004670A7" w:rsidRDefault="00CD3403" w:rsidP="00CD3403">
            <w:pPr>
              <w:pStyle w:val="Default"/>
            </w:pPr>
            <w:r w:rsidRPr="004670A7">
              <w:t xml:space="preserve">Error </w:t>
            </w:r>
          </w:p>
        </w:tc>
        <w:tc>
          <w:tcPr>
            <w:tcW w:w="1558" w:type="dxa"/>
          </w:tcPr>
          <w:p w:rsidR="00CD3403" w:rsidRPr="004670A7" w:rsidRDefault="00CD3403" w:rsidP="00CD3403">
            <w:pPr>
              <w:pStyle w:val="Default"/>
            </w:pPr>
            <w:r w:rsidRPr="004670A7">
              <w:t xml:space="preserve">10204.610 </w:t>
            </w:r>
          </w:p>
        </w:tc>
        <w:tc>
          <w:tcPr>
            <w:tcW w:w="1558" w:type="dxa"/>
          </w:tcPr>
          <w:p w:rsidR="00CD3403" w:rsidRPr="004670A7" w:rsidRDefault="00CD3403" w:rsidP="00CD3403">
            <w:pPr>
              <w:pStyle w:val="Default"/>
            </w:pPr>
            <w:r w:rsidRPr="004670A7">
              <w:t xml:space="preserve">224 </w:t>
            </w:r>
          </w:p>
        </w:tc>
        <w:tc>
          <w:tcPr>
            <w:tcW w:w="1558" w:type="dxa"/>
          </w:tcPr>
          <w:p w:rsidR="00CD3403" w:rsidRPr="004670A7" w:rsidRDefault="00CD3403" w:rsidP="00CD3403">
            <w:pPr>
              <w:pStyle w:val="Default"/>
            </w:pPr>
            <w:r w:rsidRPr="004670A7">
              <w:t xml:space="preserve">50.023 </w:t>
            </w: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r w:rsidR="00CD3403" w:rsidRPr="004670A7" w:rsidTr="00FE2623">
        <w:tc>
          <w:tcPr>
            <w:tcW w:w="1558" w:type="dxa"/>
          </w:tcPr>
          <w:p w:rsidR="00CD3403" w:rsidRPr="004670A7" w:rsidRDefault="00CD3403" w:rsidP="00CD3403">
            <w:pPr>
              <w:pStyle w:val="Default"/>
            </w:pPr>
            <w:r w:rsidRPr="004670A7">
              <w:t xml:space="preserve">Total </w:t>
            </w:r>
          </w:p>
        </w:tc>
        <w:tc>
          <w:tcPr>
            <w:tcW w:w="1558" w:type="dxa"/>
          </w:tcPr>
          <w:p w:rsidR="00CD3403" w:rsidRPr="004670A7" w:rsidRDefault="00CD3403" w:rsidP="00CD3403">
            <w:pPr>
              <w:pStyle w:val="Default"/>
            </w:pPr>
            <w:r w:rsidRPr="004670A7">
              <w:t xml:space="preserve">185167.000 </w:t>
            </w:r>
          </w:p>
        </w:tc>
        <w:tc>
          <w:tcPr>
            <w:tcW w:w="1558" w:type="dxa"/>
          </w:tcPr>
          <w:p w:rsidR="00CD3403" w:rsidRPr="004670A7" w:rsidRDefault="00CD3403" w:rsidP="00CD3403">
            <w:pPr>
              <w:pStyle w:val="Default"/>
            </w:pPr>
            <w:r w:rsidRPr="004670A7">
              <w:t xml:space="preserve">227 </w:t>
            </w:r>
          </w:p>
        </w:tc>
        <w:tc>
          <w:tcPr>
            <w:tcW w:w="1558"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r w:rsidR="00CD3403" w:rsidRPr="004670A7" w:rsidTr="00FE2623">
        <w:tc>
          <w:tcPr>
            <w:tcW w:w="1558" w:type="dxa"/>
          </w:tcPr>
          <w:p w:rsidR="00CD3403" w:rsidRPr="00FE2623" w:rsidRDefault="00CD3403" w:rsidP="00CD3403">
            <w:pPr>
              <w:pStyle w:val="Default"/>
              <w:rPr>
                <w:b/>
              </w:rPr>
            </w:pPr>
            <w:r w:rsidRPr="00FE2623">
              <w:rPr>
                <w:b/>
              </w:rPr>
              <w:t xml:space="preserve">Corrected Total </w:t>
            </w:r>
          </w:p>
        </w:tc>
        <w:tc>
          <w:tcPr>
            <w:tcW w:w="1558" w:type="dxa"/>
          </w:tcPr>
          <w:p w:rsidR="00CD3403" w:rsidRPr="004670A7" w:rsidRDefault="00CD3403" w:rsidP="00CD3403">
            <w:pPr>
              <w:pStyle w:val="Default"/>
            </w:pPr>
            <w:r w:rsidRPr="004670A7">
              <w:t xml:space="preserve">12006.763 </w:t>
            </w:r>
          </w:p>
        </w:tc>
        <w:tc>
          <w:tcPr>
            <w:tcW w:w="1558" w:type="dxa"/>
          </w:tcPr>
          <w:p w:rsidR="00CD3403" w:rsidRPr="004670A7" w:rsidRDefault="00CD3403" w:rsidP="00CD3403">
            <w:pPr>
              <w:pStyle w:val="Default"/>
            </w:pPr>
            <w:r w:rsidRPr="004670A7">
              <w:t xml:space="preserve">226 </w:t>
            </w:r>
          </w:p>
        </w:tc>
        <w:tc>
          <w:tcPr>
            <w:tcW w:w="1558"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bl>
    <w:p w:rsidR="00CD3403" w:rsidRPr="004670A7" w:rsidRDefault="00CD3403" w:rsidP="00947F23">
      <w:pPr>
        <w:spacing w:line="360" w:lineRule="auto"/>
        <w:rPr>
          <w:rFonts w:ascii="Times New Roman" w:hAnsi="Times New Roman" w:cs="Times New Roman"/>
          <w:sz w:val="24"/>
          <w:szCs w:val="24"/>
        </w:rPr>
      </w:pPr>
    </w:p>
    <w:p w:rsidR="00CD3403" w:rsidRPr="004670A7" w:rsidRDefault="00CD3403" w:rsidP="00947F23">
      <w:p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Table 3 shows that the p value of the significance of F (35.631) on achievement is 0.000 compared to P ≤ 0.05 alpha level already set. The null hypothesis of no significant difference in the mean achievement scores of students taught </w:t>
      </w:r>
      <w:r w:rsidR="00B35B7E" w:rsidRPr="00B35B7E">
        <w:rPr>
          <w:rFonts w:ascii="Times New Roman" w:hAnsi="Times New Roman" w:cs="Times New Roman"/>
          <w:sz w:val="24"/>
          <w:szCs w:val="24"/>
        </w:rPr>
        <w:t>vocational subjects</w:t>
      </w:r>
      <w:r w:rsidRPr="004670A7">
        <w:rPr>
          <w:rFonts w:ascii="Times New Roman" w:hAnsi="Times New Roman" w:cs="Times New Roman"/>
          <w:sz w:val="24"/>
          <w:szCs w:val="24"/>
        </w:rPr>
        <w:t xml:space="preserve"> using the think-pair-share and those taught using the conventional method is therefore rejected. Hence, there is a significant difference in the mean achievement scores of students taught </w:t>
      </w:r>
      <w:r w:rsidR="00B35B7E" w:rsidRPr="00B35B7E">
        <w:rPr>
          <w:rFonts w:ascii="Times New Roman" w:hAnsi="Times New Roman" w:cs="Times New Roman"/>
          <w:sz w:val="24"/>
          <w:szCs w:val="24"/>
        </w:rPr>
        <w:t xml:space="preserve">vocational subjects </w:t>
      </w:r>
      <w:r w:rsidRPr="004670A7">
        <w:rPr>
          <w:rFonts w:ascii="Times New Roman" w:hAnsi="Times New Roman" w:cs="Times New Roman"/>
          <w:sz w:val="24"/>
          <w:szCs w:val="24"/>
        </w:rPr>
        <w:t xml:space="preserve">using the think-pair-share and those taught using the conventional teaching method in </w:t>
      </w:r>
      <w:proofErr w:type="spellStart"/>
      <w:r w:rsidRPr="004670A7">
        <w:rPr>
          <w:rFonts w:ascii="Times New Roman" w:hAnsi="Times New Roman" w:cs="Times New Roman"/>
          <w:sz w:val="24"/>
          <w:szCs w:val="24"/>
        </w:rPr>
        <w:t>favour</w:t>
      </w:r>
      <w:proofErr w:type="spellEnd"/>
      <w:r w:rsidRPr="004670A7">
        <w:rPr>
          <w:rFonts w:ascii="Times New Roman" w:hAnsi="Times New Roman" w:cs="Times New Roman"/>
          <w:sz w:val="24"/>
          <w:szCs w:val="24"/>
        </w:rPr>
        <w:t xml:space="preserve"> of the think-pair-share group.</w:t>
      </w:r>
    </w:p>
    <w:p w:rsidR="00AD056E" w:rsidRDefault="00AD056E" w:rsidP="00947F23">
      <w:pPr>
        <w:pStyle w:val="Default"/>
        <w:spacing w:line="360" w:lineRule="auto"/>
        <w:rPr>
          <w:b/>
          <w:bCs/>
        </w:rPr>
      </w:pPr>
      <w:r>
        <w:rPr>
          <w:b/>
          <w:bCs/>
        </w:rPr>
        <w:t>Hypothesis Two</w:t>
      </w:r>
    </w:p>
    <w:p w:rsidR="00CD3403" w:rsidRDefault="004B2CCC" w:rsidP="00947F23">
      <w:pPr>
        <w:pStyle w:val="Default"/>
        <w:spacing w:line="360" w:lineRule="auto"/>
      </w:pPr>
      <w:r>
        <w:t>There is no </w:t>
      </w:r>
      <w:r w:rsidR="00CD3403" w:rsidRPr="004670A7">
        <w:t>sig</w:t>
      </w:r>
      <w:r>
        <w:t>nificant difference in the mean </w:t>
      </w:r>
      <w:r w:rsidR="00CD3403" w:rsidRPr="00B3004B">
        <w:rPr>
          <w:sz w:val="22"/>
          <w:szCs w:val="22"/>
        </w:rPr>
        <w:t>int</w:t>
      </w:r>
      <w:r w:rsidRPr="00B3004B">
        <w:rPr>
          <w:sz w:val="22"/>
          <w:szCs w:val="22"/>
        </w:rPr>
        <w:t>erest scores of students taught</w:t>
      </w:r>
      <w:r>
        <w:t> </w:t>
      </w:r>
      <w:r w:rsidR="00B35B7E">
        <w:t>vocational subjects</w:t>
      </w:r>
      <w:r w:rsidR="00B35B7E" w:rsidRPr="004670A7">
        <w:t xml:space="preserve"> </w:t>
      </w:r>
      <w:r w:rsidR="00CD3403" w:rsidRPr="004670A7">
        <w:t xml:space="preserve">using think-pair-share and those taught using the conventional approach. </w:t>
      </w:r>
    </w:p>
    <w:p w:rsidR="004670A7" w:rsidRPr="004670A7" w:rsidRDefault="004670A7" w:rsidP="00CD3403">
      <w:pPr>
        <w:pStyle w:val="Default"/>
      </w:pPr>
    </w:p>
    <w:p w:rsidR="00CD3403" w:rsidRPr="004670A7" w:rsidRDefault="00CD3403" w:rsidP="00CD3403">
      <w:pPr>
        <w:rPr>
          <w:rFonts w:ascii="Times New Roman" w:hAnsi="Times New Roman" w:cs="Times New Roman"/>
          <w:b/>
          <w:sz w:val="24"/>
          <w:szCs w:val="24"/>
        </w:rPr>
      </w:pPr>
      <w:r w:rsidRPr="004670A7">
        <w:rPr>
          <w:rFonts w:ascii="Times New Roman" w:hAnsi="Times New Roman" w:cs="Times New Roman"/>
          <w:b/>
          <w:sz w:val="24"/>
          <w:szCs w:val="24"/>
        </w:rPr>
        <w:t xml:space="preserve">Table 4: Analysis of Covariance of Students’ Scores in the Think-pair-share and Control Groups’ Interest Inventory in </w:t>
      </w:r>
      <w:r w:rsidR="00B35B7E" w:rsidRPr="00B35B7E">
        <w:rPr>
          <w:rFonts w:ascii="Times New Roman" w:hAnsi="Times New Roman" w:cs="Times New Roman"/>
          <w:b/>
          <w:sz w:val="24"/>
          <w:szCs w:val="24"/>
        </w:rPr>
        <w:t xml:space="preserve">Vocational Subjects </w:t>
      </w:r>
      <w:r w:rsidRPr="004670A7">
        <w:rPr>
          <w:rFonts w:ascii="Times New Roman" w:hAnsi="Times New Roman" w:cs="Times New Roman"/>
          <w:b/>
          <w:sz w:val="24"/>
          <w:szCs w:val="24"/>
        </w:rPr>
        <w:t>Due to Method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CD3403" w:rsidRPr="004670A7" w:rsidTr="006E5BEA">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Source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Type III Sum of Squares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Df </w:t>
            </w:r>
          </w:p>
        </w:tc>
        <w:tc>
          <w:tcPr>
            <w:tcW w:w="1558"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Mean Square </w:t>
            </w:r>
          </w:p>
        </w:tc>
        <w:tc>
          <w:tcPr>
            <w:tcW w:w="1559" w:type="dxa"/>
            <w:tcBorders>
              <w:top w:val="single" w:sz="4" w:space="0" w:color="auto"/>
              <w:bottom w:val="single" w:sz="4" w:space="0" w:color="auto"/>
            </w:tcBorders>
          </w:tcPr>
          <w:p w:rsidR="00CD3403" w:rsidRPr="004670A7" w:rsidRDefault="00CD3403" w:rsidP="00CD3403">
            <w:pPr>
              <w:pStyle w:val="Default"/>
            </w:pPr>
            <w:r w:rsidRPr="004670A7">
              <w:rPr>
                <w:b/>
                <w:bCs/>
              </w:rPr>
              <w:t xml:space="preserve">F </w:t>
            </w:r>
          </w:p>
        </w:tc>
        <w:tc>
          <w:tcPr>
            <w:tcW w:w="1559" w:type="dxa"/>
            <w:tcBorders>
              <w:top w:val="single" w:sz="4" w:space="0" w:color="auto"/>
              <w:bottom w:val="single" w:sz="4" w:space="0" w:color="auto"/>
            </w:tcBorders>
          </w:tcPr>
          <w:p w:rsidR="00CD3403" w:rsidRPr="004670A7" w:rsidRDefault="00CD3403" w:rsidP="00CD3403">
            <w:pPr>
              <w:pStyle w:val="Default"/>
            </w:pPr>
            <w:r w:rsidRPr="004670A7">
              <w:t xml:space="preserve">Sig. </w:t>
            </w:r>
          </w:p>
        </w:tc>
      </w:tr>
      <w:tr w:rsidR="00CD3403" w:rsidRPr="004670A7" w:rsidTr="006E5BEA">
        <w:tc>
          <w:tcPr>
            <w:tcW w:w="1558" w:type="dxa"/>
            <w:tcBorders>
              <w:top w:val="single" w:sz="4" w:space="0" w:color="auto"/>
            </w:tcBorders>
          </w:tcPr>
          <w:p w:rsidR="00CD3403" w:rsidRPr="004670A7" w:rsidRDefault="00CD3403" w:rsidP="00CD3403">
            <w:pPr>
              <w:pStyle w:val="Default"/>
            </w:pPr>
            <w:r w:rsidRPr="004670A7">
              <w:t xml:space="preserve">Corrected Model </w:t>
            </w:r>
          </w:p>
        </w:tc>
        <w:tc>
          <w:tcPr>
            <w:tcW w:w="1558" w:type="dxa"/>
            <w:tcBorders>
              <w:top w:val="single" w:sz="4" w:space="0" w:color="auto"/>
            </w:tcBorders>
          </w:tcPr>
          <w:p w:rsidR="00CD3403" w:rsidRPr="004670A7" w:rsidRDefault="00CD3403" w:rsidP="00CD3403">
            <w:pPr>
              <w:pStyle w:val="Default"/>
            </w:pPr>
            <w:r w:rsidRPr="004670A7">
              <w:t xml:space="preserve">21.572 </w:t>
            </w:r>
          </w:p>
        </w:tc>
        <w:tc>
          <w:tcPr>
            <w:tcW w:w="1558" w:type="dxa"/>
            <w:tcBorders>
              <w:top w:val="single" w:sz="4" w:space="0" w:color="auto"/>
            </w:tcBorders>
          </w:tcPr>
          <w:p w:rsidR="00CD3403" w:rsidRPr="004670A7" w:rsidRDefault="00CD3403" w:rsidP="00CD3403">
            <w:pPr>
              <w:pStyle w:val="Default"/>
            </w:pPr>
            <w:r w:rsidRPr="004670A7">
              <w:t xml:space="preserve">2 </w:t>
            </w:r>
          </w:p>
        </w:tc>
        <w:tc>
          <w:tcPr>
            <w:tcW w:w="1558" w:type="dxa"/>
            <w:tcBorders>
              <w:top w:val="single" w:sz="4" w:space="0" w:color="auto"/>
            </w:tcBorders>
          </w:tcPr>
          <w:p w:rsidR="00CD3403" w:rsidRPr="004670A7" w:rsidRDefault="00CD3403" w:rsidP="00CD3403">
            <w:pPr>
              <w:pStyle w:val="Default"/>
            </w:pPr>
            <w:r w:rsidRPr="004670A7">
              <w:t xml:space="preserve">10.786 </w:t>
            </w:r>
          </w:p>
        </w:tc>
        <w:tc>
          <w:tcPr>
            <w:tcW w:w="1559" w:type="dxa"/>
            <w:tcBorders>
              <w:top w:val="single" w:sz="4" w:space="0" w:color="auto"/>
            </w:tcBorders>
          </w:tcPr>
          <w:p w:rsidR="00CD3403" w:rsidRPr="004670A7" w:rsidRDefault="00CD3403" w:rsidP="00CD3403">
            <w:pPr>
              <w:pStyle w:val="Default"/>
            </w:pPr>
            <w:r w:rsidRPr="004670A7">
              <w:t xml:space="preserve">171.168 </w:t>
            </w:r>
          </w:p>
        </w:tc>
        <w:tc>
          <w:tcPr>
            <w:tcW w:w="1559" w:type="dxa"/>
            <w:tcBorders>
              <w:top w:val="single" w:sz="4" w:space="0" w:color="auto"/>
            </w:tcBorders>
          </w:tcPr>
          <w:p w:rsidR="00CD3403" w:rsidRPr="004670A7" w:rsidRDefault="00CD3403" w:rsidP="00CD3403">
            <w:pPr>
              <w:pStyle w:val="Default"/>
            </w:pPr>
            <w:r w:rsidRPr="004670A7">
              <w:t xml:space="preserve">.000 </w:t>
            </w:r>
          </w:p>
        </w:tc>
      </w:tr>
      <w:tr w:rsidR="00CD3403" w:rsidRPr="004670A7" w:rsidTr="006E5BEA">
        <w:tc>
          <w:tcPr>
            <w:tcW w:w="1558" w:type="dxa"/>
          </w:tcPr>
          <w:p w:rsidR="00CD3403" w:rsidRPr="004670A7" w:rsidRDefault="00CD3403" w:rsidP="00CD3403">
            <w:pPr>
              <w:pStyle w:val="Default"/>
            </w:pPr>
            <w:r w:rsidRPr="004670A7">
              <w:t xml:space="preserve">Intercept </w:t>
            </w:r>
          </w:p>
        </w:tc>
        <w:tc>
          <w:tcPr>
            <w:tcW w:w="1558" w:type="dxa"/>
          </w:tcPr>
          <w:p w:rsidR="00CD3403" w:rsidRPr="004670A7" w:rsidRDefault="00CD3403" w:rsidP="00CD3403">
            <w:pPr>
              <w:pStyle w:val="Default"/>
            </w:pPr>
            <w:r w:rsidRPr="004670A7">
              <w:t xml:space="preserve">11.070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11.070 </w:t>
            </w:r>
          </w:p>
        </w:tc>
        <w:tc>
          <w:tcPr>
            <w:tcW w:w="1559" w:type="dxa"/>
          </w:tcPr>
          <w:p w:rsidR="00CD3403" w:rsidRPr="004670A7" w:rsidRDefault="00CD3403" w:rsidP="00CD3403">
            <w:pPr>
              <w:pStyle w:val="Default"/>
            </w:pPr>
            <w:r w:rsidRPr="004670A7">
              <w:t xml:space="preserve">175.664 </w:t>
            </w:r>
          </w:p>
        </w:tc>
        <w:tc>
          <w:tcPr>
            <w:tcW w:w="1559" w:type="dxa"/>
          </w:tcPr>
          <w:p w:rsidR="00CD3403" w:rsidRPr="004670A7" w:rsidRDefault="00CD3403" w:rsidP="00CD3403">
            <w:pPr>
              <w:pStyle w:val="Default"/>
            </w:pPr>
            <w:r w:rsidRPr="004670A7">
              <w:t xml:space="preserve">.000 </w:t>
            </w:r>
          </w:p>
        </w:tc>
      </w:tr>
      <w:tr w:rsidR="00CD3403" w:rsidRPr="004670A7" w:rsidTr="006E5BEA">
        <w:tc>
          <w:tcPr>
            <w:tcW w:w="1558" w:type="dxa"/>
          </w:tcPr>
          <w:p w:rsidR="00CD3403" w:rsidRPr="004670A7" w:rsidRDefault="00CD3403" w:rsidP="00CD3403">
            <w:pPr>
              <w:pStyle w:val="Default"/>
            </w:pPr>
            <w:proofErr w:type="spellStart"/>
            <w:r w:rsidRPr="004670A7">
              <w:t>PreInterest</w:t>
            </w:r>
            <w:proofErr w:type="spellEnd"/>
            <w:r w:rsidRPr="004670A7">
              <w:t xml:space="preserve"> </w:t>
            </w:r>
          </w:p>
        </w:tc>
        <w:tc>
          <w:tcPr>
            <w:tcW w:w="1558" w:type="dxa"/>
          </w:tcPr>
          <w:p w:rsidR="00CD3403" w:rsidRPr="004670A7" w:rsidRDefault="00CD3403" w:rsidP="00CD3403">
            <w:pPr>
              <w:pStyle w:val="Default"/>
            </w:pPr>
            <w:r w:rsidRPr="004670A7">
              <w:t xml:space="preserve">.010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.010 </w:t>
            </w:r>
          </w:p>
        </w:tc>
        <w:tc>
          <w:tcPr>
            <w:tcW w:w="1559" w:type="dxa"/>
          </w:tcPr>
          <w:p w:rsidR="00CD3403" w:rsidRPr="004670A7" w:rsidRDefault="00CD3403" w:rsidP="00CD3403">
            <w:pPr>
              <w:pStyle w:val="Default"/>
            </w:pPr>
            <w:r w:rsidRPr="004670A7">
              <w:t xml:space="preserve">.154 </w:t>
            </w:r>
          </w:p>
        </w:tc>
        <w:tc>
          <w:tcPr>
            <w:tcW w:w="1559" w:type="dxa"/>
          </w:tcPr>
          <w:p w:rsidR="00CD3403" w:rsidRPr="004670A7" w:rsidRDefault="00CD3403" w:rsidP="00CD3403">
            <w:pPr>
              <w:pStyle w:val="Default"/>
            </w:pPr>
            <w:r w:rsidRPr="004670A7">
              <w:t xml:space="preserve">.695 </w:t>
            </w:r>
          </w:p>
        </w:tc>
      </w:tr>
      <w:tr w:rsidR="00CD3403" w:rsidRPr="004670A7" w:rsidTr="006E5BEA">
        <w:tc>
          <w:tcPr>
            <w:tcW w:w="1558" w:type="dxa"/>
          </w:tcPr>
          <w:p w:rsidR="00CD3403" w:rsidRPr="004670A7" w:rsidRDefault="00CD3403" w:rsidP="00CD3403">
            <w:pPr>
              <w:pStyle w:val="Default"/>
            </w:pPr>
            <w:r w:rsidRPr="004670A7">
              <w:t xml:space="preserve">Group </w:t>
            </w:r>
          </w:p>
        </w:tc>
        <w:tc>
          <w:tcPr>
            <w:tcW w:w="1558" w:type="dxa"/>
          </w:tcPr>
          <w:p w:rsidR="00CD3403" w:rsidRPr="004670A7" w:rsidRDefault="00CD3403" w:rsidP="00CD3403">
            <w:pPr>
              <w:pStyle w:val="Default"/>
            </w:pPr>
            <w:r w:rsidRPr="004670A7">
              <w:t xml:space="preserve">19.864 </w:t>
            </w:r>
          </w:p>
        </w:tc>
        <w:tc>
          <w:tcPr>
            <w:tcW w:w="1558" w:type="dxa"/>
          </w:tcPr>
          <w:p w:rsidR="00CD3403" w:rsidRPr="004670A7" w:rsidRDefault="00CD3403" w:rsidP="00CD3403">
            <w:pPr>
              <w:pStyle w:val="Default"/>
            </w:pPr>
            <w:r w:rsidRPr="004670A7">
              <w:t xml:space="preserve">1 </w:t>
            </w:r>
          </w:p>
        </w:tc>
        <w:tc>
          <w:tcPr>
            <w:tcW w:w="1558" w:type="dxa"/>
          </w:tcPr>
          <w:p w:rsidR="00CD3403" w:rsidRPr="004670A7" w:rsidRDefault="00CD3403" w:rsidP="00CD3403">
            <w:pPr>
              <w:pStyle w:val="Default"/>
            </w:pPr>
            <w:r w:rsidRPr="004670A7">
              <w:t xml:space="preserve">19.864 </w:t>
            </w:r>
          </w:p>
        </w:tc>
        <w:tc>
          <w:tcPr>
            <w:tcW w:w="1559" w:type="dxa"/>
          </w:tcPr>
          <w:p w:rsidR="00CD3403" w:rsidRPr="004670A7" w:rsidRDefault="00CD3403" w:rsidP="00CD3403">
            <w:pPr>
              <w:pStyle w:val="Default"/>
            </w:pPr>
            <w:r w:rsidRPr="004670A7">
              <w:t xml:space="preserve">315.229 </w:t>
            </w:r>
          </w:p>
        </w:tc>
        <w:tc>
          <w:tcPr>
            <w:tcW w:w="1559" w:type="dxa"/>
          </w:tcPr>
          <w:p w:rsidR="00CD3403" w:rsidRPr="004670A7" w:rsidRDefault="00CD3403" w:rsidP="00CD3403">
            <w:pPr>
              <w:pStyle w:val="Default"/>
            </w:pPr>
            <w:r w:rsidRPr="004670A7">
              <w:t xml:space="preserve">.000 </w:t>
            </w:r>
          </w:p>
        </w:tc>
      </w:tr>
      <w:tr w:rsidR="00CD3403" w:rsidRPr="004670A7" w:rsidTr="006E5BEA">
        <w:tc>
          <w:tcPr>
            <w:tcW w:w="1558" w:type="dxa"/>
          </w:tcPr>
          <w:p w:rsidR="00CD3403" w:rsidRPr="004670A7" w:rsidRDefault="00CD3403" w:rsidP="00CD3403">
            <w:pPr>
              <w:pStyle w:val="Default"/>
            </w:pPr>
            <w:r w:rsidRPr="004670A7">
              <w:t xml:space="preserve">Error </w:t>
            </w:r>
          </w:p>
        </w:tc>
        <w:tc>
          <w:tcPr>
            <w:tcW w:w="1558" w:type="dxa"/>
          </w:tcPr>
          <w:p w:rsidR="00CD3403" w:rsidRPr="004670A7" w:rsidRDefault="00CD3403" w:rsidP="00CD3403">
            <w:pPr>
              <w:pStyle w:val="Default"/>
            </w:pPr>
            <w:r w:rsidRPr="004670A7">
              <w:t xml:space="preserve">12.855 </w:t>
            </w:r>
          </w:p>
        </w:tc>
        <w:tc>
          <w:tcPr>
            <w:tcW w:w="1558" w:type="dxa"/>
          </w:tcPr>
          <w:p w:rsidR="00CD3403" w:rsidRPr="004670A7" w:rsidRDefault="00CD3403" w:rsidP="00CD3403">
            <w:pPr>
              <w:pStyle w:val="Default"/>
            </w:pPr>
            <w:r w:rsidRPr="004670A7">
              <w:t xml:space="preserve">224 </w:t>
            </w:r>
          </w:p>
        </w:tc>
        <w:tc>
          <w:tcPr>
            <w:tcW w:w="1558" w:type="dxa"/>
          </w:tcPr>
          <w:p w:rsidR="00CD3403" w:rsidRPr="004670A7" w:rsidRDefault="00CD3403" w:rsidP="00CD3403">
            <w:pPr>
              <w:pStyle w:val="Default"/>
            </w:pPr>
            <w:r w:rsidRPr="004670A7">
              <w:t xml:space="preserve">.063 </w:t>
            </w: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r w:rsidR="00CD3403" w:rsidRPr="004670A7" w:rsidTr="006E5BEA">
        <w:tc>
          <w:tcPr>
            <w:tcW w:w="1558" w:type="dxa"/>
          </w:tcPr>
          <w:p w:rsidR="00CD3403" w:rsidRPr="004670A7" w:rsidRDefault="00CD3403" w:rsidP="00CD3403">
            <w:pPr>
              <w:pStyle w:val="Default"/>
            </w:pPr>
            <w:r w:rsidRPr="004670A7">
              <w:t xml:space="preserve">Total </w:t>
            </w:r>
          </w:p>
        </w:tc>
        <w:tc>
          <w:tcPr>
            <w:tcW w:w="1558" w:type="dxa"/>
          </w:tcPr>
          <w:p w:rsidR="00CD3403" w:rsidRPr="004670A7" w:rsidRDefault="00CD3403" w:rsidP="00CD3403">
            <w:pPr>
              <w:pStyle w:val="Default"/>
            </w:pPr>
            <w:r w:rsidRPr="004670A7">
              <w:t xml:space="preserve">2242.302 </w:t>
            </w:r>
          </w:p>
        </w:tc>
        <w:tc>
          <w:tcPr>
            <w:tcW w:w="1558" w:type="dxa"/>
          </w:tcPr>
          <w:p w:rsidR="00CD3403" w:rsidRPr="004670A7" w:rsidRDefault="00CD3403" w:rsidP="00CD3403">
            <w:pPr>
              <w:pStyle w:val="Default"/>
            </w:pPr>
            <w:r w:rsidRPr="004670A7">
              <w:t xml:space="preserve">227 </w:t>
            </w:r>
          </w:p>
        </w:tc>
        <w:tc>
          <w:tcPr>
            <w:tcW w:w="1558"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r w:rsidR="00CD3403" w:rsidRPr="004670A7" w:rsidTr="006E5BEA">
        <w:tc>
          <w:tcPr>
            <w:tcW w:w="1558" w:type="dxa"/>
          </w:tcPr>
          <w:p w:rsidR="00CD3403" w:rsidRPr="00AD056E" w:rsidRDefault="00CD3403" w:rsidP="00CD3403">
            <w:pPr>
              <w:pStyle w:val="Default"/>
              <w:rPr>
                <w:b/>
              </w:rPr>
            </w:pPr>
            <w:r w:rsidRPr="00AD056E">
              <w:rPr>
                <w:b/>
              </w:rPr>
              <w:t xml:space="preserve">Corrected Total </w:t>
            </w:r>
          </w:p>
        </w:tc>
        <w:tc>
          <w:tcPr>
            <w:tcW w:w="1558" w:type="dxa"/>
          </w:tcPr>
          <w:p w:rsidR="00CD3403" w:rsidRPr="004670A7" w:rsidRDefault="00CD3403" w:rsidP="00CD3403">
            <w:pPr>
              <w:pStyle w:val="Default"/>
            </w:pPr>
            <w:r w:rsidRPr="004670A7">
              <w:t xml:space="preserve">34.428 </w:t>
            </w:r>
          </w:p>
        </w:tc>
        <w:tc>
          <w:tcPr>
            <w:tcW w:w="1558" w:type="dxa"/>
          </w:tcPr>
          <w:p w:rsidR="00CD3403" w:rsidRPr="004670A7" w:rsidRDefault="00CD3403" w:rsidP="00CD3403">
            <w:pPr>
              <w:pStyle w:val="Default"/>
            </w:pPr>
            <w:r w:rsidRPr="004670A7">
              <w:t xml:space="preserve">226 </w:t>
            </w:r>
          </w:p>
        </w:tc>
        <w:tc>
          <w:tcPr>
            <w:tcW w:w="1558"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c>
          <w:tcPr>
            <w:tcW w:w="1559" w:type="dxa"/>
          </w:tcPr>
          <w:p w:rsidR="00CD3403" w:rsidRPr="004670A7" w:rsidRDefault="00CD3403" w:rsidP="00CD3403">
            <w:pPr>
              <w:rPr>
                <w:rFonts w:ascii="Times New Roman" w:hAnsi="Times New Roman" w:cs="Times New Roman"/>
                <w:sz w:val="24"/>
                <w:szCs w:val="24"/>
              </w:rPr>
            </w:pPr>
          </w:p>
        </w:tc>
      </w:tr>
    </w:tbl>
    <w:p w:rsidR="00CD3403" w:rsidRPr="004670A7" w:rsidRDefault="00CD3403" w:rsidP="00CD3403">
      <w:pPr>
        <w:rPr>
          <w:rFonts w:ascii="Times New Roman" w:hAnsi="Times New Roman" w:cs="Times New Roman"/>
          <w:sz w:val="24"/>
          <w:szCs w:val="24"/>
        </w:rPr>
      </w:pPr>
    </w:p>
    <w:p w:rsidR="00CD3403" w:rsidRPr="004670A7" w:rsidRDefault="00CD3403" w:rsidP="00B727BD">
      <w:pPr>
        <w:spacing w:line="48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Table 4 shows that the p value of the significance of F (315.229) on interest is 0 .000 compared to P≤ 0.05 level of significance already set. </w:t>
      </w:r>
      <w:r w:rsidR="004670A7" w:rsidRPr="004670A7">
        <w:rPr>
          <w:rFonts w:ascii="Times New Roman" w:hAnsi="Times New Roman" w:cs="Times New Roman"/>
          <w:sz w:val="24"/>
          <w:szCs w:val="24"/>
        </w:rPr>
        <w:t>Therefore,</w:t>
      </w:r>
      <w:r w:rsidRPr="004670A7">
        <w:rPr>
          <w:rFonts w:ascii="Times New Roman" w:hAnsi="Times New Roman" w:cs="Times New Roman"/>
          <w:sz w:val="24"/>
          <w:szCs w:val="24"/>
        </w:rPr>
        <w:t xml:space="preserve"> the null hypothesis of no significant difference in interest scores between the think-pair-share and control group</w:t>
      </w:r>
      <w:r w:rsidR="004670A7">
        <w:rPr>
          <w:rFonts w:ascii="Times New Roman" w:hAnsi="Times New Roman" w:cs="Times New Roman"/>
          <w:sz w:val="24"/>
          <w:szCs w:val="24"/>
        </w:rPr>
        <w:t xml:space="preserve"> is rejected. Hence, there is a </w:t>
      </w:r>
      <w:r w:rsidRPr="004670A7">
        <w:rPr>
          <w:rFonts w:ascii="Times New Roman" w:hAnsi="Times New Roman" w:cs="Times New Roman"/>
          <w:sz w:val="24"/>
          <w:szCs w:val="24"/>
        </w:rPr>
        <w:t>sig</w:t>
      </w:r>
      <w:r w:rsidR="004670A7">
        <w:rPr>
          <w:rFonts w:ascii="Times New Roman" w:hAnsi="Times New Roman" w:cs="Times New Roman"/>
          <w:sz w:val="24"/>
          <w:szCs w:val="24"/>
        </w:rPr>
        <w:t>nificant difference in the </w:t>
      </w:r>
      <w:r w:rsidR="004670A7" w:rsidRPr="00B3004B">
        <w:rPr>
          <w:rFonts w:ascii="Times New Roman" w:hAnsi="Times New Roman" w:cs="Times New Roman"/>
        </w:rPr>
        <w:t>mean </w:t>
      </w:r>
      <w:r w:rsidRPr="00B3004B">
        <w:rPr>
          <w:rFonts w:ascii="Times New Roman" w:hAnsi="Times New Roman" w:cs="Times New Roman"/>
        </w:rPr>
        <w:t>int</w:t>
      </w:r>
      <w:r w:rsidR="004670A7" w:rsidRPr="00B3004B">
        <w:rPr>
          <w:rFonts w:ascii="Times New Roman" w:hAnsi="Times New Roman" w:cs="Times New Roman"/>
        </w:rPr>
        <w:t>erest scores of stud</w:t>
      </w:r>
      <w:r w:rsidR="004670A7">
        <w:rPr>
          <w:rFonts w:ascii="Times New Roman" w:hAnsi="Times New Roman" w:cs="Times New Roman"/>
          <w:sz w:val="24"/>
          <w:szCs w:val="24"/>
        </w:rPr>
        <w:t>ents taught </w:t>
      </w:r>
      <w:r w:rsidR="00B727BD">
        <w:rPr>
          <w:rFonts w:ascii="Times New Roman" w:hAnsi="Times New Roman" w:cs="Times New Roman"/>
          <w:sz w:val="24"/>
          <w:szCs w:val="24"/>
        </w:rPr>
        <w:t>vocational </w:t>
      </w:r>
      <w:r w:rsidR="00B35B7E" w:rsidRPr="00B35B7E">
        <w:rPr>
          <w:rFonts w:ascii="Times New Roman" w:hAnsi="Times New Roman" w:cs="Times New Roman"/>
          <w:sz w:val="24"/>
          <w:szCs w:val="24"/>
        </w:rPr>
        <w:t>subjects</w:t>
      </w:r>
      <w:r w:rsidRPr="004670A7">
        <w:rPr>
          <w:rFonts w:ascii="Times New Roman" w:hAnsi="Times New Roman" w:cs="Times New Roman"/>
          <w:sz w:val="24"/>
          <w:szCs w:val="24"/>
        </w:rPr>
        <w:t xml:space="preserve"> using think-pair-share and those taught using the conventional approach in </w:t>
      </w:r>
      <w:proofErr w:type="spellStart"/>
      <w:r w:rsidRPr="004670A7">
        <w:rPr>
          <w:rFonts w:ascii="Times New Roman" w:hAnsi="Times New Roman" w:cs="Times New Roman"/>
          <w:sz w:val="24"/>
          <w:szCs w:val="24"/>
        </w:rPr>
        <w:t>favour</w:t>
      </w:r>
      <w:proofErr w:type="spellEnd"/>
      <w:r w:rsidRPr="004670A7">
        <w:rPr>
          <w:rFonts w:ascii="Times New Roman" w:hAnsi="Times New Roman" w:cs="Times New Roman"/>
          <w:sz w:val="24"/>
          <w:szCs w:val="24"/>
        </w:rPr>
        <w:t xml:space="preserve"> of the think-pair-share group.</w:t>
      </w:r>
    </w:p>
    <w:p w:rsidR="00CD3403" w:rsidRPr="004670A7" w:rsidRDefault="00CD3403" w:rsidP="00947F23">
      <w:pPr>
        <w:pStyle w:val="Default"/>
        <w:spacing w:line="360" w:lineRule="auto"/>
      </w:pPr>
      <w:r w:rsidRPr="004670A7">
        <w:rPr>
          <w:b/>
          <w:bCs/>
        </w:rPr>
        <w:t xml:space="preserve">DISCUSSION OF FINDINGS </w:t>
      </w:r>
    </w:p>
    <w:p w:rsidR="00CD3403" w:rsidRPr="004670A7" w:rsidRDefault="00CD3403" w:rsidP="00947F23">
      <w:pPr>
        <w:pStyle w:val="Default"/>
        <w:spacing w:line="360" w:lineRule="auto"/>
        <w:jc w:val="both"/>
      </w:pPr>
      <w:r w:rsidRPr="004670A7">
        <w:t xml:space="preserve">The Finding indicated the efficiency of Think-Pair-Share in improving students' academic achievement in </w:t>
      </w:r>
      <w:r w:rsidR="00B35B7E">
        <w:t>vocational subjects</w:t>
      </w:r>
      <w:r w:rsidRPr="004670A7">
        <w:t xml:space="preserve">. This is in accordance with the research of </w:t>
      </w:r>
      <w:proofErr w:type="spellStart"/>
      <w:r w:rsidRPr="004670A7">
        <w:t>Kaddoura</w:t>
      </w:r>
      <w:proofErr w:type="spellEnd"/>
      <w:r w:rsidRPr="004670A7">
        <w:t xml:space="preserve"> (2013) who in his study discovered that the Think-Pair-Share technique greatly enhanced nursing students’ academic performance and critical thinking abilities. The research noted that TPS fosters active involvement and greater knowledge of course material. The conclusion is also aligned with the research of </w:t>
      </w:r>
      <w:proofErr w:type="spellStart"/>
      <w:r w:rsidRPr="004670A7">
        <w:t>Udeani</w:t>
      </w:r>
      <w:proofErr w:type="spellEnd"/>
      <w:r w:rsidRPr="004670A7">
        <w:t xml:space="preserve"> and Okafor (2012) who in their study discovered in their study on Nigerian science classrooms that collaborative tactics like TPS lead to increased academic achievement, particularly in practical and problem-solving topics. The data indicated the usefulness of Think-Pair-Share in considerably improving students’ interest in </w:t>
      </w:r>
      <w:r w:rsidR="00B35B7E">
        <w:t>vocational subjects</w:t>
      </w:r>
      <w:r w:rsidRPr="004670A7">
        <w:t xml:space="preserve">. </w:t>
      </w:r>
    </w:p>
    <w:p w:rsidR="004670A7" w:rsidRDefault="004670A7" w:rsidP="00947F23">
      <w:pPr>
        <w:pStyle w:val="Default"/>
        <w:spacing w:line="360" w:lineRule="auto"/>
      </w:pPr>
    </w:p>
    <w:p w:rsidR="00CD3403" w:rsidRPr="004670A7" w:rsidRDefault="00CD3403" w:rsidP="00947F23">
      <w:pPr>
        <w:pStyle w:val="Default"/>
        <w:spacing w:line="360" w:lineRule="auto"/>
        <w:jc w:val="both"/>
      </w:pPr>
      <w:r w:rsidRPr="004670A7">
        <w:t xml:space="preserve">The outcomes of this research indicated the usefulness of the Think-Pair-Share (TPS) technique in dramatically improving students’ interest in </w:t>
      </w:r>
      <w:r w:rsidR="00B35B7E">
        <w:t>vocational subjects</w:t>
      </w:r>
      <w:r w:rsidRPr="004670A7">
        <w:t xml:space="preserve">. This conclusion corresponds with earlier studies demonstrating that TPS increases active involvement, which in turn enhances learners’ interest. For example, Usman and </w:t>
      </w:r>
      <w:proofErr w:type="spellStart"/>
      <w:r w:rsidRPr="004670A7">
        <w:t>Adewumi</w:t>
      </w:r>
      <w:proofErr w:type="spellEnd"/>
      <w:r w:rsidRPr="004670A7">
        <w:t xml:space="preserve"> (2017) discovered that TPS greatly boosted students' interest in Physics by fostering peer interaction and deeper cognitive participation. Similarly, </w:t>
      </w:r>
      <w:proofErr w:type="spellStart"/>
      <w:r w:rsidRPr="004670A7">
        <w:t>Ezenwosu</w:t>
      </w:r>
      <w:proofErr w:type="spellEnd"/>
      <w:r w:rsidRPr="004670A7">
        <w:t xml:space="preserve"> and </w:t>
      </w:r>
      <w:proofErr w:type="spellStart"/>
      <w:r w:rsidRPr="004670A7">
        <w:t>Nworgu</w:t>
      </w:r>
      <w:proofErr w:type="spellEnd"/>
      <w:r w:rsidRPr="004670A7">
        <w:t xml:space="preserve"> (2013) showed that biology students exposed to TPS displayed a greater degree of interest and passion compared to those taught using standard techniques. </w:t>
      </w:r>
    </w:p>
    <w:p w:rsidR="004670A7" w:rsidRDefault="004670A7" w:rsidP="00CD3403">
      <w:pPr>
        <w:pStyle w:val="Default"/>
        <w:rPr>
          <w:b/>
          <w:bCs/>
        </w:rPr>
      </w:pPr>
    </w:p>
    <w:p w:rsidR="00C36FA2" w:rsidRDefault="00C36FA2" w:rsidP="003A39B1">
      <w:pPr>
        <w:pStyle w:val="Default"/>
        <w:spacing w:before="240"/>
        <w:rPr>
          <w:b/>
          <w:bCs/>
        </w:rPr>
      </w:pPr>
    </w:p>
    <w:p w:rsidR="00C36FA2" w:rsidRDefault="00C36FA2" w:rsidP="003A39B1">
      <w:pPr>
        <w:pStyle w:val="Default"/>
        <w:spacing w:before="240"/>
        <w:rPr>
          <w:b/>
          <w:bCs/>
        </w:rPr>
      </w:pPr>
    </w:p>
    <w:p w:rsidR="00E21E9F" w:rsidRDefault="00CD3403" w:rsidP="003A39B1">
      <w:pPr>
        <w:pStyle w:val="Default"/>
        <w:spacing w:before="240"/>
        <w:rPr>
          <w:b/>
          <w:bCs/>
        </w:rPr>
      </w:pPr>
      <w:r w:rsidRPr="004670A7">
        <w:rPr>
          <w:b/>
          <w:bCs/>
        </w:rPr>
        <w:lastRenderedPageBreak/>
        <w:t>CO</w:t>
      </w:r>
      <w:r w:rsidR="00E21E9F">
        <w:rPr>
          <w:b/>
          <w:bCs/>
        </w:rPr>
        <w:t>NCLUSION</w:t>
      </w:r>
    </w:p>
    <w:p w:rsidR="00CD3403" w:rsidRPr="00B34E43" w:rsidRDefault="00CD3403" w:rsidP="00791EEB">
      <w:pPr>
        <w:pStyle w:val="Default"/>
        <w:spacing w:line="360" w:lineRule="auto"/>
        <w:jc w:val="both"/>
        <w:rPr>
          <w:b/>
          <w:bCs/>
        </w:rPr>
      </w:pPr>
      <w:r w:rsidRPr="004670A7">
        <w:t xml:space="preserve">Based on the findings of this research, </w:t>
      </w:r>
      <w:r w:rsidR="00E21E9F">
        <w:t>it is determined that the Think-</w:t>
      </w:r>
      <w:r w:rsidRPr="004670A7">
        <w:t>Pa</w:t>
      </w:r>
      <w:r w:rsidR="00E21E9F">
        <w:t>ir-</w:t>
      </w:r>
      <w:r w:rsidR="00B34E43">
        <w:t>Share technique is </w:t>
      </w:r>
      <w:r w:rsidR="004670A7">
        <w:t>extremely </w:t>
      </w:r>
      <w:r w:rsidRPr="004670A7">
        <w:t>b</w:t>
      </w:r>
      <w:r w:rsidR="004670A7">
        <w:t>eneficial in boosting students’</w:t>
      </w:r>
      <w:r w:rsidRPr="004670A7">
        <w:t>ac</w:t>
      </w:r>
      <w:r w:rsidR="004670A7">
        <w:t>ademic progress and interest in </w:t>
      </w:r>
      <w:r w:rsidR="002D47E9">
        <w:t>vocational </w:t>
      </w:r>
      <w:r w:rsidR="00B34E43">
        <w:t>subject.</w:t>
      </w:r>
      <w:r w:rsidR="00E21E9F">
        <w:t> </w:t>
      </w:r>
      <w:r w:rsidR="00B3004B">
        <w:t>Students exposed </w:t>
      </w:r>
      <w:r w:rsidRPr="004670A7">
        <w:t>to</w:t>
      </w:r>
      <w:r w:rsidR="00B3004B">
        <w:t> </w:t>
      </w:r>
      <w:r w:rsidRPr="004670A7">
        <w:t>the</w:t>
      </w:r>
      <w:r w:rsidR="00B3004B">
        <w:t> </w:t>
      </w:r>
      <w:r w:rsidRPr="004670A7">
        <w:t>technique</w:t>
      </w:r>
      <w:r w:rsidR="00B3004B">
        <w:t> </w:t>
      </w:r>
      <w:r w:rsidRPr="004670A7">
        <w:t>performed</w:t>
      </w:r>
      <w:r w:rsidR="00B3004B">
        <w:t> much </w:t>
      </w:r>
      <w:r w:rsidRPr="004670A7">
        <w:t>better</w:t>
      </w:r>
      <w:r w:rsidR="00B3004B">
        <w:t> </w:t>
      </w:r>
      <w:r w:rsidRPr="004670A7">
        <w:t>a</w:t>
      </w:r>
      <w:r w:rsidR="00B3004B">
        <w:t>nd showed higher excitement for </w:t>
      </w:r>
      <w:r w:rsidRPr="004670A7">
        <w:t xml:space="preserve">learning compared to those taught using standard methods. The interactive aspect of the technique fostered active engagement and greater comprehension of the subject matter. It also enhanced peer cooperation and introspective thinking, which led to greater motivation and engagement. These data imply that Think-Pair-Share is a feasible pedagogical technique for increasing learning outcomes in technical education. Teachers of </w:t>
      </w:r>
      <w:r w:rsidR="00B12D73">
        <w:t>vocational subjects</w:t>
      </w:r>
      <w:r w:rsidR="00B12D73" w:rsidRPr="004670A7">
        <w:t xml:space="preserve"> </w:t>
      </w:r>
      <w:r w:rsidRPr="004670A7">
        <w:t xml:space="preserve">are consequently advised to </w:t>
      </w:r>
      <w:proofErr w:type="spellStart"/>
      <w:r w:rsidRPr="004670A7">
        <w:t>utilise</w:t>
      </w:r>
      <w:proofErr w:type="spellEnd"/>
      <w:r w:rsidRPr="004670A7">
        <w:t xml:space="preserve"> the method to improve both intellectual and emotive benefits among students.</w:t>
      </w:r>
    </w:p>
    <w:p w:rsidR="00CD3403" w:rsidRPr="004670A7" w:rsidRDefault="00CD3403" w:rsidP="00791EEB">
      <w:pPr>
        <w:pStyle w:val="Default"/>
      </w:pPr>
      <w:r w:rsidRPr="004670A7">
        <w:rPr>
          <w:b/>
          <w:bCs/>
        </w:rPr>
        <w:t xml:space="preserve">RECOMMENDATIONS </w:t>
      </w:r>
    </w:p>
    <w:p w:rsidR="00CD3403" w:rsidRPr="004670A7" w:rsidRDefault="00CD3403" w:rsidP="00791EEB">
      <w:pPr>
        <w:pStyle w:val="Default"/>
        <w:spacing w:line="360" w:lineRule="auto"/>
      </w:pPr>
      <w:r w:rsidRPr="004670A7">
        <w:t xml:space="preserve">Based on the findings, the study recommends that: </w:t>
      </w:r>
    </w:p>
    <w:p w:rsidR="00CD3403" w:rsidRPr="004670A7" w:rsidRDefault="00CD3403" w:rsidP="00947F23">
      <w:pPr>
        <w:pStyle w:val="ListParagraph"/>
        <w:numPr>
          <w:ilvl w:val="0"/>
          <w:numId w:val="2"/>
        </w:numPr>
        <w:spacing w:line="360" w:lineRule="auto"/>
        <w:jc w:val="both"/>
        <w:rPr>
          <w:rFonts w:ascii="Times New Roman" w:hAnsi="Times New Roman" w:cs="Times New Roman"/>
          <w:sz w:val="24"/>
          <w:szCs w:val="24"/>
        </w:rPr>
      </w:pPr>
      <w:r w:rsidRPr="004670A7">
        <w:rPr>
          <w:rFonts w:ascii="Times New Roman" w:hAnsi="Times New Roman" w:cs="Times New Roman"/>
          <w:sz w:val="24"/>
          <w:szCs w:val="24"/>
        </w:rPr>
        <w:t xml:space="preserve">Educators should integrate the Think-Pair-Share strategy into their teaching to enhance students' academic achievement and interest in </w:t>
      </w:r>
      <w:r w:rsidR="00BE321E" w:rsidRPr="00BE321E">
        <w:rPr>
          <w:rFonts w:ascii="Times New Roman" w:hAnsi="Times New Roman" w:cs="Times New Roman"/>
          <w:sz w:val="24"/>
          <w:szCs w:val="24"/>
        </w:rPr>
        <w:t>vocational subjects</w:t>
      </w:r>
      <w:r w:rsidRPr="00BE321E">
        <w:rPr>
          <w:rFonts w:ascii="Times New Roman" w:hAnsi="Times New Roman" w:cs="Times New Roman"/>
          <w:sz w:val="24"/>
          <w:szCs w:val="24"/>
        </w:rPr>
        <w:t>.</w:t>
      </w:r>
    </w:p>
    <w:p w:rsidR="00CD3403" w:rsidRPr="004670A7" w:rsidRDefault="004670A7" w:rsidP="00947F23">
      <w:pPr>
        <w:pStyle w:val="ListParagraph"/>
        <w:numPr>
          <w:ilvl w:val="0"/>
          <w:numId w:val="2"/>
        </w:numPr>
        <w:spacing w:line="360" w:lineRule="auto"/>
        <w:rPr>
          <w:rFonts w:ascii="Times New Roman" w:hAnsi="Times New Roman" w:cs="Times New Roman"/>
          <w:sz w:val="24"/>
          <w:szCs w:val="24"/>
        </w:rPr>
      </w:pPr>
      <w:r w:rsidRPr="004670A7">
        <w:rPr>
          <w:rFonts w:ascii="Times New Roman" w:hAnsi="Times New Roman" w:cs="Times New Roman"/>
          <w:sz w:val="24"/>
          <w:szCs w:val="24"/>
        </w:rPr>
        <w:t>Ongoing professional development should be provided to teachers on effectively using collaborative learning strategies like Think-Pair-Share to boost student achievement and interest.</w:t>
      </w: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C36FA2" w:rsidRDefault="00C36FA2" w:rsidP="00F710A4">
      <w:pPr>
        <w:pStyle w:val="Default"/>
        <w:spacing w:before="240"/>
        <w:rPr>
          <w:b/>
          <w:bCs/>
        </w:rPr>
      </w:pPr>
    </w:p>
    <w:p w:rsidR="00791EEB" w:rsidRDefault="00791EEB" w:rsidP="00F710A4">
      <w:pPr>
        <w:pStyle w:val="Default"/>
        <w:spacing w:before="240"/>
        <w:rPr>
          <w:b/>
          <w:bCs/>
        </w:rPr>
      </w:pPr>
    </w:p>
    <w:p w:rsidR="007701EC" w:rsidRDefault="004670A7" w:rsidP="00F710A4">
      <w:pPr>
        <w:pStyle w:val="Default"/>
        <w:spacing w:before="240"/>
      </w:pPr>
      <w:bookmarkStart w:id="0" w:name="_GoBack"/>
      <w:bookmarkEnd w:id="0"/>
      <w:r w:rsidRPr="004670A7">
        <w:rPr>
          <w:b/>
          <w:bCs/>
        </w:rPr>
        <w:lastRenderedPageBreak/>
        <w:t xml:space="preserve">REFERENCES </w:t>
      </w:r>
    </w:p>
    <w:p w:rsidR="004670A7" w:rsidRPr="004670A7" w:rsidRDefault="004670A7" w:rsidP="009543E4">
      <w:pPr>
        <w:pStyle w:val="Default"/>
        <w:ind w:left="720" w:hanging="720"/>
        <w:jc w:val="both"/>
      </w:pPr>
      <w:proofErr w:type="spellStart"/>
      <w:r w:rsidRPr="004670A7">
        <w:t>Akanmu</w:t>
      </w:r>
      <w:proofErr w:type="spellEnd"/>
      <w:r w:rsidRPr="004670A7">
        <w:t xml:space="preserve">, A. (2019). The impact of collaborative learning strategies on students' academic achievement in vocational education. Educational Research Journal, 12(4), 223-235.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Audu</w:t>
      </w:r>
      <w:proofErr w:type="spellEnd"/>
      <w:r w:rsidRPr="004670A7">
        <w:t xml:space="preserve">, T., Olaniyan, D., &amp; </w:t>
      </w:r>
      <w:proofErr w:type="spellStart"/>
      <w:r w:rsidRPr="004670A7">
        <w:t>Ojo</w:t>
      </w:r>
      <w:proofErr w:type="spellEnd"/>
      <w:r w:rsidRPr="004670A7">
        <w:t xml:space="preserve">, A. (2020). Technical education in Nigeria: A pathway for sustainable development. Journal of Technical Education and Training, 22(1), 45-60.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r w:rsidRPr="004670A7">
        <w:t xml:space="preserve">Eli, D. (2021). Innovative teaching techniques in Nigerian technical colleges: A focus on the effectiveness of cooperative learning. International Journal of Educational Research, 14(2), 77-92.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r w:rsidRPr="004670A7">
        <w:t xml:space="preserve">Evita, R., </w:t>
      </w:r>
      <w:proofErr w:type="spellStart"/>
      <w:r w:rsidRPr="004670A7">
        <w:t>Hayati</w:t>
      </w:r>
      <w:proofErr w:type="spellEnd"/>
      <w:r w:rsidRPr="004670A7">
        <w:t xml:space="preserve">, P., &amp; </w:t>
      </w:r>
      <w:proofErr w:type="spellStart"/>
      <w:r w:rsidRPr="004670A7">
        <w:t>Suhendra</w:t>
      </w:r>
      <w:proofErr w:type="spellEnd"/>
      <w:r w:rsidRPr="004670A7">
        <w:t xml:space="preserve">, I. (2019). The effectiveness of the Think-Pair-Share strategy in enhancing students' problem-solving skills and interest. Journal of Education and Learning, 15(3), 179-188.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Ezenwosu</w:t>
      </w:r>
      <w:proofErr w:type="spellEnd"/>
      <w:r w:rsidRPr="004670A7">
        <w:t xml:space="preserve">, S. U., &amp; </w:t>
      </w:r>
      <w:proofErr w:type="spellStart"/>
      <w:r w:rsidRPr="004670A7">
        <w:t>Nworgu</w:t>
      </w:r>
      <w:proofErr w:type="spellEnd"/>
      <w:r w:rsidRPr="004670A7">
        <w:t xml:space="preserve">, L. N. (2013). Effect of Think-Pair-Share collaborative learning strategy on students’ achievement and interest in biology. </w:t>
      </w:r>
      <w:r w:rsidRPr="004670A7">
        <w:rPr>
          <w:i/>
          <w:iCs/>
        </w:rPr>
        <w:t>Journal of Education and Practice, 4</w:t>
      </w:r>
      <w:r w:rsidRPr="004670A7">
        <w:t xml:space="preserve">(12), 96–103.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Ikelegbe</w:t>
      </w:r>
      <w:proofErr w:type="spellEnd"/>
      <w:r w:rsidRPr="004670A7">
        <w:t xml:space="preserve">, O. (2020). Integrating problem-based learning in vocational training: Enhancing student outcomes in technical colleges. Journal of Educational Development, 18(2), 121-134.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Kaddoura</w:t>
      </w:r>
      <w:proofErr w:type="spellEnd"/>
      <w:r w:rsidRPr="004670A7">
        <w:t xml:space="preserve">, M. A. (2013). Think Pair Share: A teaching learning strategy to enhance students' critical thinking. Educational Research Quarterly, 36(4), 3–24.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r w:rsidRPr="004670A7">
        <w:t xml:space="preserve">Lawrence, B., &amp; Tar, D. (2018). Effectiveness of traditional versus modern teaching methods in Nigerian technical education. Journal of Vocational Education, 11(1), 98-110.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Napitupulu</w:t>
      </w:r>
      <w:proofErr w:type="spellEnd"/>
      <w:r w:rsidRPr="004670A7">
        <w:t xml:space="preserve">, H., &amp; Surya, M. (2017). Increasing student engagement and interest through collaborative learning models. International Journal of Instruction, 10(1), 23-34.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Ogbuanya</w:t>
      </w:r>
      <w:proofErr w:type="spellEnd"/>
      <w:r w:rsidRPr="004670A7">
        <w:t xml:space="preserve">, T., Okoye, C., &amp; </w:t>
      </w:r>
      <w:proofErr w:type="spellStart"/>
      <w:r w:rsidRPr="004670A7">
        <w:t>Umeh</w:t>
      </w:r>
      <w:proofErr w:type="spellEnd"/>
      <w:r w:rsidRPr="004670A7">
        <w:t xml:space="preserve">, J. (2021). Interest as a predictor of academic achievement in vocational education: A case study in technical colleges in Nigeria. Journal of Vocational Education and Training, 19(1), 42-56.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Sejani</w:t>
      </w:r>
      <w:proofErr w:type="spellEnd"/>
      <w:r w:rsidRPr="004670A7">
        <w:t xml:space="preserve">, R. (2016). Think-Pair-Share: A strategy for promoting collaborative learning and problem-solving skills in vocational education. Journal of Educational Research, 25(3), 204-215.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proofErr w:type="spellStart"/>
      <w:r w:rsidRPr="004670A7">
        <w:t>Udeani</w:t>
      </w:r>
      <w:proofErr w:type="spellEnd"/>
      <w:r w:rsidRPr="004670A7">
        <w:t xml:space="preserve">, U., &amp; Okafor, P. N. (2012). The effect of Think-Pair-Share strategy on students’ achievement in senior secondary school chemistry. African Journal of Science, Technology and Mathematics Education, 2(1), 45–53. </w:t>
      </w:r>
    </w:p>
    <w:p w:rsidR="00810BC3" w:rsidRDefault="00810BC3" w:rsidP="009543E4">
      <w:pPr>
        <w:pStyle w:val="Default"/>
        <w:spacing w:after="30"/>
        <w:ind w:left="720" w:hanging="720"/>
        <w:jc w:val="both"/>
      </w:pPr>
    </w:p>
    <w:p w:rsidR="004670A7" w:rsidRPr="004670A7" w:rsidRDefault="004670A7" w:rsidP="009543E4">
      <w:pPr>
        <w:pStyle w:val="Default"/>
        <w:spacing w:after="30"/>
        <w:ind w:left="720" w:hanging="720"/>
        <w:jc w:val="both"/>
      </w:pPr>
      <w:r w:rsidRPr="004670A7">
        <w:lastRenderedPageBreak/>
        <w:t xml:space="preserve">Usman, I. A., &amp; </w:t>
      </w:r>
      <w:proofErr w:type="spellStart"/>
      <w:r w:rsidRPr="004670A7">
        <w:t>Adewumi</w:t>
      </w:r>
      <w:proofErr w:type="spellEnd"/>
      <w:r w:rsidRPr="004670A7">
        <w:t xml:space="preserve">, M. G. (2017). Effect of Think-Pair-Share strategy on senior school students’ interest and achievement in physics in Ilorin, Nigeria. </w:t>
      </w:r>
      <w:r w:rsidRPr="004670A7">
        <w:rPr>
          <w:i/>
          <w:iCs/>
        </w:rPr>
        <w:t>Journal of Education and Practice, 8</w:t>
      </w:r>
      <w:r w:rsidRPr="004670A7">
        <w:t xml:space="preserve">(11), 124–130. </w:t>
      </w:r>
    </w:p>
    <w:p w:rsidR="00810BC3" w:rsidRDefault="00810BC3" w:rsidP="009543E4">
      <w:pPr>
        <w:pStyle w:val="Default"/>
        <w:ind w:left="720" w:hanging="720"/>
        <w:jc w:val="both"/>
      </w:pPr>
    </w:p>
    <w:p w:rsidR="004670A7" w:rsidRPr="004670A7" w:rsidRDefault="004670A7" w:rsidP="009543E4">
      <w:pPr>
        <w:pStyle w:val="Default"/>
        <w:ind w:left="720" w:hanging="720"/>
        <w:jc w:val="both"/>
      </w:pPr>
      <w:r w:rsidRPr="004670A7">
        <w:t xml:space="preserve">Zakaria, F., Rahman, R., &amp; </w:t>
      </w:r>
      <w:proofErr w:type="spellStart"/>
      <w:r w:rsidRPr="004670A7">
        <w:t>Samsudin</w:t>
      </w:r>
      <w:proofErr w:type="spellEnd"/>
      <w:r w:rsidRPr="004670A7">
        <w:t xml:space="preserve">, A. (2019). Exploring the effects of Think-Pair-Share on students' interest and academic achievement in technical subjects. International Journal of Instruction, 22(2), 150-165. </w:t>
      </w:r>
    </w:p>
    <w:p w:rsidR="004670A7" w:rsidRPr="004670A7" w:rsidRDefault="004670A7" w:rsidP="004670A7">
      <w:pPr>
        <w:rPr>
          <w:rFonts w:ascii="Times New Roman" w:hAnsi="Times New Roman" w:cs="Times New Roman"/>
          <w:sz w:val="24"/>
          <w:szCs w:val="24"/>
        </w:rPr>
      </w:pPr>
    </w:p>
    <w:sectPr w:rsidR="004670A7" w:rsidRPr="004670A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3AA" w:rsidRDefault="00A623AA" w:rsidP="00A277B8">
      <w:pPr>
        <w:spacing w:after="0" w:line="240" w:lineRule="auto"/>
      </w:pPr>
      <w:r>
        <w:separator/>
      </w:r>
    </w:p>
  </w:endnote>
  <w:endnote w:type="continuationSeparator" w:id="0">
    <w:p w:rsidR="00A623AA" w:rsidRDefault="00A623AA" w:rsidP="00A2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168115"/>
      <w:docPartObj>
        <w:docPartGallery w:val="Page Numbers (Bottom of Page)"/>
        <w:docPartUnique/>
      </w:docPartObj>
    </w:sdtPr>
    <w:sdtEndPr>
      <w:rPr>
        <w:noProof/>
      </w:rPr>
    </w:sdtEndPr>
    <w:sdtContent>
      <w:p w:rsidR="00A277B8" w:rsidRDefault="00A277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277B8" w:rsidRDefault="00A27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3AA" w:rsidRDefault="00A623AA" w:rsidP="00A277B8">
      <w:pPr>
        <w:spacing w:after="0" w:line="240" w:lineRule="auto"/>
      </w:pPr>
      <w:r>
        <w:separator/>
      </w:r>
    </w:p>
  </w:footnote>
  <w:footnote w:type="continuationSeparator" w:id="0">
    <w:p w:rsidR="00A623AA" w:rsidRDefault="00A623AA" w:rsidP="00A27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50A4F"/>
    <w:multiLevelType w:val="hybridMultilevel"/>
    <w:tmpl w:val="524CB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16110"/>
    <w:multiLevelType w:val="hybridMultilevel"/>
    <w:tmpl w:val="F7787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D5C3F"/>
    <w:multiLevelType w:val="hybridMultilevel"/>
    <w:tmpl w:val="B1908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A8C"/>
    <w:rsid w:val="00026383"/>
    <w:rsid w:val="000436C5"/>
    <w:rsid w:val="000E36E6"/>
    <w:rsid w:val="000E4CA4"/>
    <w:rsid w:val="00177743"/>
    <w:rsid w:val="001A012A"/>
    <w:rsid w:val="001F0F08"/>
    <w:rsid w:val="002074EB"/>
    <w:rsid w:val="002D3C71"/>
    <w:rsid w:val="002D47E9"/>
    <w:rsid w:val="002F247A"/>
    <w:rsid w:val="0030496C"/>
    <w:rsid w:val="0030617A"/>
    <w:rsid w:val="003476FB"/>
    <w:rsid w:val="003A39B1"/>
    <w:rsid w:val="003C2FC3"/>
    <w:rsid w:val="00417C8B"/>
    <w:rsid w:val="00437116"/>
    <w:rsid w:val="004670A7"/>
    <w:rsid w:val="004B2CCC"/>
    <w:rsid w:val="004D0671"/>
    <w:rsid w:val="004F3D86"/>
    <w:rsid w:val="005D7731"/>
    <w:rsid w:val="005E6EFF"/>
    <w:rsid w:val="00641A05"/>
    <w:rsid w:val="006A2D7C"/>
    <w:rsid w:val="006C071F"/>
    <w:rsid w:val="006E5BEA"/>
    <w:rsid w:val="007701EC"/>
    <w:rsid w:val="00791EEB"/>
    <w:rsid w:val="00810BC3"/>
    <w:rsid w:val="00845EBD"/>
    <w:rsid w:val="008C01F0"/>
    <w:rsid w:val="008E2509"/>
    <w:rsid w:val="008E4870"/>
    <w:rsid w:val="00947F23"/>
    <w:rsid w:val="009543E4"/>
    <w:rsid w:val="00966158"/>
    <w:rsid w:val="00A277B8"/>
    <w:rsid w:val="00A623AA"/>
    <w:rsid w:val="00A76CEF"/>
    <w:rsid w:val="00AA5E1C"/>
    <w:rsid w:val="00AD056E"/>
    <w:rsid w:val="00B12D73"/>
    <w:rsid w:val="00B3004B"/>
    <w:rsid w:val="00B34E43"/>
    <w:rsid w:val="00B35B7E"/>
    <w:rsid w:val="00B727BD"/>
    <w:rsid w:val="00BE321E"/>
    <w:rsid w:val="00C27AF5"/>
    <w:rsid w:val="00C36FA2"/>
    <w:rsid w:val="00C92C6D"/>
    <w:rsid w:val="00CA776B"/>
    <w:rsid w:val="00CD3403"/>
    <w:rsid w:val="00CE5A8C"/>
    <w:rsid w:val="00D3249F"/>
    <w:rsid w:val="00DD1FA0"/>
    <w:rsid w:val="00DF190F"/>
    <w:rsid w:val="00DF4415"/>
    <w:rsid w:val="00E21E9F"/>
    <w:rsid w:val="00E247D1"/>
    <w:rsid w:val="00E55AFE"/>
    <w:rsid w:val="00EE4EA2"/>
    <w:rsid w:val="00F710A4"/>
    <w:rsid w:val="00FD6C5F"/>
    <w:rsid w:val="00FE18EC"/>
    <w:rsid w:val="00FE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800D"/>
  <w15:chartTrackingRefBased/>
  <w15:docId w15:val="{2109A758-DE32-46B6-9313-18AF819F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638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2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0A7"/>
    <w:pPr>
      <w:ind w:left="720"/>
      <w:contextualSpacing/>
    </w:pPr>
  </w:style>
  <w:style w:type="paragraph" w:styleId="Header">
    <w:name w:val="header"/>
    <w:basedOn w:val="Normal"/>
    <w:link w:val="HeaderChar"/>
    <w:uiPriority w:val="99"/>
    <w:unhideWhenUsed/>
    <w:rsid w:val="00A27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7B8"/>
  </w:style>
  <w:style w:type="paragraph" w:styleId="Footer">
    <w:name w:val="footer"/>
    <w:basedOn w:val="Normal"/>
    <w:link w:val="FooterChar"/>
    <w:uiPriority w:val="99"/>
    <w:unhideWhenUsed/>
    <w:rsid w:val="00A27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12</Pages>
  <Words>3260</Words>
  <Characters>18584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2026-05-08T15:33:00Z</dcterms:created>
  <dcterms:modified xsi:type="dcterms:W3CDTF">2026-05-14T07:30:00Z</dcterms:modified>
</cp:coreProperties>
</file>